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A7" w:rsidRDefault="00350BEF" w:rsidP="00350BEF">
      <w:pPr>
        <w:jc w:val="center"/>
      </w:pPr>
      <w:r>
        <w:t>La dimora di Dio</w:t>
      </w:r>
    </w:p>
    <w:p w:rsidR="00350BEF" w:rsidRDefault="00926316" w:rsidP="00350BEF">
      <w:pPr>
        <w:jc w:val="center"/>
      </w:pPr>
      <w:r>
        <w:t>Rileggere la</w:t>
      </w:r>
      <w:r w:rsidR="00350BEF">
        <w:t xml:space="preserve"> </w:t>
      </w:r>
      <w:r w:rsidR="00350BEF">
        <w:rPr>
          <w:i/>
        </w:rPr>
        <w:t xml:space="preserve">Lumen Gentium </w:t>
      </w:r>
    </w:p>
    <w:p w:rsidR="00E00E48" w:rsidRDefault="00E00E48" w:rsidP="000A6B45"/>
    <w:p w:rsidR="000A6B45" w:rsidRDefault="00E00E48" w:rsidP="00D6443A">
      <w:pPr>
        <w:ind w:left="708" w:firstLine="0"/>
        <w:rPr>
          <w:sz w:val="20"/>
          <w:szCs w:val="20"/>
        </w:rPr>
      </w:pPr>
      <w:r w:rsidRPr="00E00E48">
        <w:rPr>
          <w:sz w:val="20"/>
          <w:szCs w:val="20"/>
        </w:rPr>
        <w:t>Si dirà che il Concilio più che delle divine verità si è occupato principalmente della Chiesa, della sua natura, della sua composizione, della sua vocazione ecumenica, della sua attività apostolica e missionaria. Questa secolare società religiosa, che è la Chiesa, ha cercato di compiere un atto riflesso su se stessa, per conoscersi meglio, per meglio definirsi, e per d</w:t>
      </w:r>
      <w:r w:rsidRPr="00E00E48">
        <w:rPr>
          <w:sz w:val="20"/>
          <w:szCs w:val="20"/>
        </w:rPr>
        <w:t>i</w:t>
      </w:r>
      <w:r w:rsidRPr="00E00E48">
        <w:rPr>
          <w:sz w:val="20"/>
          <w:szCs w:val="20"/>
        </w:rPr>
        <w:t>sporre di conseguenza i suoi sentimenti ed i suoi precetti. È vero. Ma questa introspezione non è stata fine a se stessa, non è stata atto di pura sapienza umana, di sola cultura terrena; la Chiesa si è raccolta nella sua intima coscienza spirituale, non per compiacersi di erudite analisi di psicologia religiosa o di storia delle sue esperienze, ovvero per dedicarsi a riaffe</w:t>
      </w:r>
      <w:r w:rsidRPr="00E00E48">
        <w:rPr>
          <w:sz w:val="20"/>
          <w:szCs w:val="20"/>
        </w:rPr>
        <w:t>r</w:t>
      </w:r>
      <w:r w:rsidRPr="00E00E48">
        <w:rPr>
          <w:sz w:val="20"/>
          <w:szCs w:val="20"/>
        </w:rPr>
        <w:t>mare i suoi diritti e a descrivere le sue leggi, ma per ritrovare in se stessa vivente ed opera</w:t>
      </w:r>
      <w:r w:rsidRPr="00E00E48">
        <w:rPr>
          <w:sz w:val="20"/>
          <w:szCs w:val="20"/>
        </w:rPr>
        <w:t>n</w:t>
      </w:r>
      <w:r w:rsidRPr="00E00E48">
        <w:rPr>
          <w:sz w:val="20"/>
          <w:szCs w:val="20"/>
        </w:rPr>
        <w:t>te, nello Spirito Santo, la parola di Cristo, e per scrutare più a fondo il mistero, cioè il dis</w:t>
      </w:r>
      <w:r w:rsidRPr="00E00E48">
        <w:rPr>
          <w:sz w:val="20"/>
          <w:szCs w:val="20"/>
        </w:rPr>
        <w:t>e</w:t>
      </w:r>
      <w:r w:rsidRPr="00E00E48">
        <w:rPr>
          <w:sz w:val="20"/>
          <w:szCs w:val="20"/>
        </w:rPr>
        <w:t>gno e la presenza di Dio sopra e dentro di sé, e per ravvivare in sé quella fede, ch’è il segreto della sua sicurezza e della sapienza, e quell’amore che la obbliga a cantare senza posa le lodi di Dio</w:t>
      </w:r>
      <w:r w:rsidR="00DC4227">
        <w:rPr>
          <w:sz w:val="20"/>
          <w:szCs w:val="20"/>
        </w:rPr>
        <w:t xml:space="preserve"> </w:t>
      </w:r>
      <w:r w:rsidR="00DC4227"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>.</w:t>
      </w:r>
    </w:p>
    <w:p w:rsidR="00D6443A" w:rsidRDefault="00D6443A" w:rsidP="00D6443A"/>
    <w:p w:rsidR="00605D5C" w:rsidRDefault="00AB60FB" w:rsidP="00D6443A">
      <w:pPr>
        <w:ind w:firstLine="708"/>
      </w:pPr>
      <w:r>
        <w:t>Questa lunga citazione dell’</w:t>
      </w:r>
      <w:r w:rsidR="00D6443A">
        <w:rPr>
          <w:i/>
        </w:rPr>
        <w:t>Allocuzione</w:t>
      </w:r>
      <w:r w:rsidR="00D6443A">
        <w:t xml:space="preserve"> con cui papa Paolo VI c</w:t>
      </w:r>
      <w:r>
        <w:t>hi</w:t>
      </w:r>
      <w:r w:rsidR="00D6443A">
        <w:t>udeva il Concilio Vaticano II esprime la coscienza con cui i Padri conciliari e la Chiesa tutta hanno vissuto un evento</w:t>
      </w:r>
      <w:r w:rsidR="0056078B">
        <w:t xml:space="preserve">, di </w:t>
      </w:r>
      <w:r w:rsidR="00DC4227">
        <w:t xml:space="preserve">cui </w:t>
      </w:r>
      <w:r w:rsidR="0056078B">
        <w:t>decantare oggi l’</w:t>
      </w:r>
      <w:r w:rsidR="00DC4227">
        <w:t>attualità non è affermazione di ci</w:t>
      </w:r>
      <w:r w:rsidR="00DC4227">
        <w:t>r</w:t>
      </w:r>
      <w:r w:rsidR="00DC4227">
        <w:t xml:space="preserve">costanza </w:t>
      </w:r>
      <w:r>
        <w:t xml:space="preserve">e celebrare l’anniversario </w:t>
      </w:r>
      <w:r w:rsidR="000A4B04">
        <w:t xml:space="preserve">è invece </w:t>
      </w:r>
      <w:r w:rsidR="00917C78">
        <w:t>esperienza condivisa di una storia degli effetti</w:t>
      </w:r>
      <w:r w:rsidR="00B55CFA">
        <w:t xml:space="preserve"> dalla portata pervasiva e penetrante</w:t>
      </w:r>
      <w:r w:rsidR="00917C78">
        <w:t>.</w:t>
      </w:r>
      <w:r w:rsidR="00B55CFA">
        <w:t xml:space="preserve"> </w:t>
      </w:r>
      <w:r w:rsidR="00726C4E">
        <w:t xml:space="preserve">È manifesta, </w:t>
      </w:r>
      <w:r w:rsidR="0056078B">
        <w:t>nelle parole del Papa</w:t>
      </w:r>
      <w:r w:rsidR="00726C4E">
        <w:t>,</w:t>
      </w:r>
      <w:r w:rsidR="0056078B">
        <w:t xml:space="preserve"> la consapevolezza </w:t>
      </w:r>
      <w:r w:rsidR="00726C4E">
        <w:t>che il tema della Chiesa è stato</w:t>
      </w:r>
      <w:r w:rsidR="0056078B">
        <w:t xml:space="preserve"> al centro dell’intenzione e della r</w:t>
      </w:r>
      <w:r w:rsidR="0056078B">
        <w:t>i</w:t>
      </w:r>
      <w:r w:rsidR="0056078B">
        <w:t>flessione del Concilio. Non è difficile trovare riscontro a tale consapevolezza nella ricostruzione dei dibattiti e nel</w:t>
      </w:r>
      <w:r w:rsidR="00220B97">
        <w:t>l’influsso</w:t>
      </w:r>
      <w:r w:rsidR="0056078B">
        <w:t xml:space="preserve"> che la costituzione dogmatica sulla Chiesa </w:t>
      </w:r>
      <w:r w:rsidR="000A4B04">
        <w:rPr>
          <w:i/>
        </w:rPr>
        <w:t>Lumen G</w:t>
      </w:r>
      <w:r w:rsidR="0056078B">
        <w:rPr>
          <w:i/>
        </w:rPr>
        <w:t>entium</w:t>
      </w:r>
      <w:r w:rsidR="0056078B">
        <w:t>,</w:t>
      </w:r>
      <w:r w:rsidR="0056078B" w:rsidRPr="0089628C">
        <w:t xml:space="preserve"> promulgata </w:t>
      </w:r>
      <w:r w:rsidR="0056078B">
        <w:t xml:space="preserve">il 21 novembre 1964, </w:t>
      </w:r>
      <w:r w:rsidR="00726C4E">
        <w:t xml:space="preserve">ha esercitato </w:t>
      </w:r>
      <w:r w:rsidR="000A4B04">
        <w:t xml:space="preserve">sulla stessa vicenda conciliare </w:t>
      </w:r>
      <w:r w:rsidR="0056078B">
        <w:t>sia nel</w:t>
      </w:r>
      <w:r w:rsidR="00726C4E">
        <w:t xml:space="preserve"> corso </w:t>
      </w:r>
      <w:r w:rsidR="0056078B">
        <w:t xml:space="preserve">della sua elaborazione sia successivamente, </w:t>
      </w:r>
      <w:r w:rsidR="001A130E">
        <w:t>lungo l</w:t>
      </w:r>
      <w:r w:rsidR="0056078B">
        <w:t>a med</w:t>
      </w:r>
      <w:r w:rsidR="0056078B">
        <w:t>e</w:t>
      </w:r>
      <w:r w:rsidR="0056078B">
        <w:t xml:space="preserve">sima sessione </w:t>
      </w:r>
      <w:r>
        <w:t xml:space="preserve">conciliare </w:t>
      </w:r>
      <w:r w:rsidR="0056078B">
        <w:t xml:space="preserve">e soprattutto </w:t>
      </w:r>
      <w:r w:rsidR="00726C4E">
        <w:t xml:space="preserve">in </w:t>
      </w:r>
      <w:r w:rsidR="0056078B">
        <w:t xml:space="preserve">quella conclusiva del 1965, che ha visto l’approvazione della </w:t>
      </w:r>
      <w:r w:rsidR="00726C4E">
        <w:t xml:space="preserve">quasi totalità </w:t>
      </w:r>
      <w:r w:rsidR="0056078B">
        <w:t>dei documenti</w:t>
      </w:r>
      <w:r w:rsidR="001A130E">
        <w:t xml:space="preserve"> emanati</w:t>
      </w:r>
      <w:r w:rsidR="0056078B">
        <w:t xml:space="preserve">. </w:t>
      </w:r>
      <w:r w:rsidR="00726C4E">
        <w:t xml:space="preserve">Senza tema di sminuire la ricchezza e la varietà dei suoi contenuti, porre </w:t>
      </w:r>
      <w:r w:rsidR="000A4B04">
        <w:t>i</w:t>
      </w:r>
      <w:r w:rsidR="00726C4E">
        <w:t>l</w:t>
      </w:r>
      <w:r w:rsidR="000A4B04">
        <w:t xml:space="preserve"> suo </w:t>
      </w:r>
      <w:r w:rsidR="00726C4E">
        <w:t>insegnamento nell’ottica e</w:t>
      </w:r>
      <w:r w:rsidR="00726C4E">
        <w:t>c</w:t>
      </w:r>
      <w:r w:rsidR="00726C4E">
        <w:t xml:space="preserve">clesiologica fornisce un principio </w:t>
      </w:r>
      <w:r w:rsidR="007E26A4">
        <w:t xml:space="preserve">unitario e coerente </w:t>
      </w:r>
      <w:r w:rsidR="00726C4E">
        <w:t>di intellegibilità</w:t>
      </w:r>
      <w:r w:rsidR="000A4B04">
        <w:t xml:space="preserve"> del Concilio</w:t>
      </w:r>
      <w:r w:rsidR="00726C4E">
        <w:t xml:space="preserve">. Nel rispondere alla domanda: “Chiesa, che cosa dici di te stessa?” </w:t>
      </w:r>
      <w:r w:rsidR="000A4B04">
        <w:t xml:space="preserve">esso </w:t>
      </w:r>
      <w:r w:rsidR="00424E2A">
        <w:t>torna a vis</w:t>
      </w:r>
      <w:r w:rsidR="00424E2A">
        <w:t>i</w:t>
      </w:r>
      <w:r w:rsidR="00424E2A">
        <w:t xml:space="preserve">tare l’identità e la missione della Chiesa per </w:t>
      </w:r>
      <w:r w:rsidR="00605D5C">
        <w:t xml:space="preserve">adempierle </w:t>
      </w:r>
      <w:r w:rsidR="0089628C">
        <w:t xml:space="preserve">con rinnovata </w:t>
      </w:r>
      <w:r w:rsidR="00897934">
        <w:t>fedel</w:t>
      </w:r>
      <w:r w:rsidR="0089628C">
        <w:t>tà</w:t>
      </w:r>
      <w:r w:rsidR="00897934">
        <w:t xml:space="preserve"> </w:t>
      </w:r>
      <w:r w:rsidR="00424E2A">
        <w:t xml:space="preserve">nel mutato contesto storico. </w:t>
      </w:r>
    </w:p>
    <w:p w:rsidR="00D6443A" w:rsidRDefault="00131173" w:rsidP="00D6443A">
      <w:pPr>
        <w:ind w:firstLine="708"/>
      </w:pPr>
      <w:r>
        <w:t>Molto è stato giustamente detto circa l’inedito carattere pastorale di questo Concilio, ma sarebbe un fraintendimento contrapporlo a</w:t>
      </w:r>
      <w:r w:rsidR="00953897">
        <w:t xml:space="preserve"> quelli del passato </w:t>
      </w:r>
      <w:r>
        <w:t>somm</w:t>
      </w:r>
      <w:r>
        <w:t>a</w:t>
      </w:r>
      <w:r>
        <w:t>riamente defin</w:t>
      </w:r>
      <w:r w:rsidR="00953897">
        <w:t>endoli</w:t>
      </w:r>
      <w:r>
        <w:t xml:space="preserve"> dottrinali e disciplinari, poiché </w:t>
      </w:r>
      <w:r w:rsidR="00475692">
        <w:t xml:space="preserve">come </w:t>
      </w:r>
      <w:r>
        <w:t>la condanna dell’errore costituiva in altre epoche la forma adeguata per l’esercizio della responsabilità p</w:t>
      </w:r>
      <w:r>
        <w:t>a</w:t>
      </w:r>
      <w:r>
        <w:t>storale</w:t>
      </w:r>
      <w:r w:rsidR="00475692">
        <w:t>, così l</w:t>
      </w:r>
      <w:r w:rsidR="001A130E">
        <w:t>’assenza di eresie da condannare</w:t>
      </w:r>
      <w:r w:rsidR="00475692">
        <w:t xml:space="preserve"> non </w:t>
      </w:r>
      <w:r w:rsidR="00897934">
        <w:t>ha precluso</w:t>
      </w:r>
      <w:r w:rsidR="00475692">
        <w:t xml:space="preserve"> né limita</w:t>
      </w:r>
      <w:r w:rsidR="00897934">
        <w:t>to</w:t>
      </w:r>
      <w:r w:rsidR="00FC78B8">
        <w:t xml:space="preserve">, ma ha </w:t>
      </w:r>
      <w:r w:rsidR="00605D5C">
        <w:t xml:space="preserve">semmai </w:t>
      </w:r>
      <w:r w:rsidR="00FC78B8">
        <w:t>potenziato,</w:t>
      </w:r>
      <w:r w:rsidR="00475692">
        <w:t xml:space="preserve"> la portata </w:t>
      </w:r>
      <w:r w:rsidR="00FC78B8">
        <w:t xml:space="preserve">e la fecondità </w:t>
      </w:r>
      <w:r w:rsidR="00475692">
        <w:t xml:space="preserve">dottrinale e disciplinare del Vaticano II. </w:t>
      </w:r>
    </w:p>
    <w:p w:rsidR="0089628C" w:rsidRDefault="00E179D1" w:rsidP="00D6443A">
      <w:pPr>
        <w:ind w:firstLine="708"/>
      </w:pPr>
      <w:r>
        <w:t>In questo Anno della fede risuonano di un’eco speciale le parole di Paolo VI sul bisogno a cui il Concilio ha risposto di «ravvivare in sé quella fede, ch’è il segr</w:t>
      </w:r>
      <w:r>
        <w:t>e</w:t>
      </w:r>
      <w:r>
        <w:lastRenderedPageBreak/>
        <w:t>to» della Chiesa. L’assise di cinquant’anni fa ha voluto, innanzitutto, ribadire che fede e Chiesa si implicano e presuppongono a vicenda. Non</w:t>
      </w:r>
      <w:r w:rsidR="004035DF">
        <w:t xml:space="preserve"> solo non c’è Chiesa senza credenti, ma</w:t>
      </w:r>
      <w:r>
        <w:t xml:space="preserve"> non </w:t>
      </w:r>
      <w:r w:rsidR="004035DF">
        <w:t>si dà nemmeno</w:t>
      </w:r>
      <w:r>
        <w:t xml:space="preserve"> fede </w:t>
      </w:r>
      <w:r w:rsidR="00953897">
        <w:t xml:space="preserve">formata </w:t>
      </w:r>
      <w:r>
        <w:t>che possa essere accolta e vi</w:t>
      </w:r>
      <w:r>
        <w:t>s</w:t>
      </w:r>
      <w:r>
        <w:t xml:space="preserve">suta </w:t>
      </w:r>
      <w:r w:rsidR="00953897">
        <w:t>fuori del</w:t>
      </w:r>
      <w:r>
        <w:t xml:space="preserve">la Chiesa. </w:t>
      </w:r>
      <w:r w:rsidR="00526C58">
        <w:t xml:space="preserve">Di ciò troviamo risonanza e </w:t>
      </w:r>
      <w:r w:rsidR="00CF36E1">
        <w:t>densit</w:t>
      </w:r>
      <w:r w:rsidR="00953897">
        <w:t>à di</w:t>
      </w:r>
      <w:r w:rsidR="00CF36E1">
        <w:t xml:space="preserve"> elementi in</w:t>
      </w:r>
      <w:r w:rsidR="00526C58">
        <w:t xml:space="preserve"> tutti i d</w:t>
      </w:r>
      <w:r w:rsidR="00526C58">
        <w:t>o</w:t>
      </w:r>
      <w:r w:rsidR="00526C58">
        <w:t>cumenti conci</w:t>
      </w:r>
      <w:r w:rsidR="00953897">
        <w:t>liari;</w:t>
      </w:r>
      <w:r w:rsidR="00526C58">
        <w:t xml:space="preserve"> ma è soprattutto la </w:t>
      </w:r>
      <w:r w:rsidR="00526C58">
        <w:rPr>
          <w:i/>
        </w:rPr>
        <w:t xml:space="preserve">Lumen Gentium </w:t>
      </w:r>
      <w:r w:rsidR="00526C58">
        <w:t xml:space="preserve">a racchiuderli e legittimarli organicamente. </w:t>
      </w:r>
      <w:r w:rsidR="00953897">
        <w:t>P</w:t>
      </w:r>
      <w:r w:rsidR="00526C58">
        <w:t xml:space="preserve">roprio la connessione tra fede e Chiesa pone in rilievo un </w:t>
      </w:r>
      <w:r w:rsidR="00F4418A">
        <w:t xml:space="preserve">aspetto </w:t>
      </w:r>
      <w:r w:rsidR="00526C58">
        <w:t>pregiudiziale nell’a</w:t>
      </w:r>
      <w:r w:rsidR="00CF36E1">
        <w:t>pproccio</w:t>
      </w:r>
      <w:r w:rsidR="00526C58">
        <w:t xml:space="preserve"> alla costituzione conciliare. </w:t>
      </w:r>
      <w:r w:rsidR="00B276D4">
        <w:t xml:space="preserve">Esso riguarda l’atteggiamento e la comprensione con cui </w:t>
      </w:r>
      <w:r w:rsidR="00CF36E1">
        <w:t xml:space="preserve">ciascuno </w:t>
      </w:r>
      <w:r w:rsidR="00B276D4">
        <w:t xml:space="preserve">giunge a </w:t>
      </w:r>
      <w:r w:rsidR="00953897">
        <w:t xml:space="preserve">prendere in </w:t>
      </w:r>
      <w:r w:rsidR="00CF36E1">
        <w:t>consider</w:t>
      </w:r>
      <w:r w:rsidR="00CF36E1">
        <w:t>a</w:t>
      </w:r>
      <w:r w:rsidR="00CF36E1">
        <w:t>zione</w:t>
      </w:r>
      <w:r w:rsidR="00953897">
        <w:t xml:space="preserve"> </w:t>
      </w:r>
      <w:r w:rsidR="00B276D4">
        <w:t xml:space="preserve">il documento. </w:t>
      </w:r>
      <w:r w:rsidR="00BD37BF">
        <w:t>Non è solo una disposizione spirituale quella che è</w:t>
      </w:r>
      <w:r w:rsidR="0089628C">
        <w:t xml:space="preserve"> chiesta, ma un’</w:t>
      </w:r>
      <w:r w:rsidR="00953897">
        <w:t xml:space="preserve">appropriata </w:t>
      </w:r>
      <w:r w:rsidR="00BD37BF">
        <w:t xml:space="preserve">attitudine intellettuale. </w:t>
      </w:r>
      <w:r w:rsidR="004A7D11">
        <w:t xml:space="preserve">Parlare della </w:t>
      </w:r>
      <w:r w:rsidR="004A7D11">
        <w:rPr>
          <w:i/>
        </w:rPr>
        <w:t xml:space="preserve">Lumen Gentium </w:t>
      </w:r>
      <w:r w:rsidR="004A7D11">
        <w:t>chiede di pre</w:t>
      </w:r>
      <w:r w:rsidR="004A7D11">
        <w:t>n</w:t>
      </w:r>
      <w:r w:rsidR="004A7D11">
        <w:t xml:space="preserve">dere coscienza del modello di Chiesa </w:t>
      </w:r>
      <w:r w:rsidR="00CF36E1">
        <w:t>che ciascuno si è formato e con cui</w:t>
      </w:r>
      <w:r w:rsidR="00953897">
        <w:t xml:space="preserve"> operiamo</w:t>
      </w:r>
      <w:r w:rsidR="004A7D11">
        <w:t xml:space="preserve">. </w:t>
      </w:r>
      <w:r w:rsidR="006B6597">
        <w:t>Lo chiede n</w:t>
      </w:r>
      <w:r w:rsidR="009C7F2C">
        <w:t xml:space="preserve">on </w:t>
      </w:r>
      <w:r w:rsidR="006B6597">
        <w:t>tanto l’</w:t>
      </w:r>
      <w:r w:rsidR="009C7F2C">
        <w:t>esercizio di ascesi intellettuale</w:t>
      </w:r>
      <w:r w:rsidR="006B6597">
        <w:t xml:space="preserve"> suggerito dalla circostanza</w:t>
      </w:r>
      <w:r w:rsidR="009C7F2C">
        <w:t xml:space="preserve">, ma l’onesta considerazione di ciò che un </w:t>
      </w:r>
      <w:r w:rsidR="006B6597">
        <w:t xml:space="preserve">tale </w:t>
      </w:r>
      <w:r w:rsidR="009C7F2C">
        <w:t xml:space="preserve">documento conciliare rappresenta, </w:t>
      </w:r>
      <w:r w:rsidR="006B6597">
        <w:t xml:space="preserve">e cioè – per dirla </w:t>
      </w:r>
      <w:r w:rsidR="008A5414">
        <w:t xml:space="preserve">ancora </w:t>
      </w:r>
      <w:r w:rsidR="006B6597">
        <w:t>con le parole</w:t>
      </w:r>
      <w:r w:rsidR="009C7F2C">
        <w:t xml:space="preserve"> di Paolo VI – la volontà e la possibilità </w:t>
      </w:r>
      <w:r w:rsidR="00CF36E1">
        <w:t xml:space="preserve">della Chiesa </w:t>
      </w:r>
      <w:r w:rsidR="009C7F2C">
        <w:t xml:space="preserve">di </w:t>
      </w:r>
      <w:r w:rsidR="009C7F2C" w:rsidRPr="009C7F2C">
        <w:t>«ritrovare in se stessa vivente ed operante, nello Spirito Santo, la parola di Cristo, e per scrutare più a fondo il mistero, cioè il disegno e la presenza di Dio sopra e dentro di sé</w:t>
      </w:r>
      <w:r w:rsidR="009C7F2C">
        <w:t xml:space="preserve">». </w:t>
      </w:r>
    </w:p>
    <w:p w:rsidR="00E179D1" w:rsidRDefault="009C7F2C" w:rsidP="00D6443A">
      <w:pPr>
        <w:ind w:firstLine="708"/>
      </w:pPr>
      <w:r>
        <w:t xml:space="preserve">Questo </w:t>
      </w:r>
      <w:r w:rsidR="00CF36E1">
        <w:t xml:space="preserve">ha fatto </w:t>
      </w:r>
      <w:r>
        <w:t>la Chiesa del Concilio e questo noi torniamo a cercare a d</w:t>
      </w:r>
      <w:r>
        <w:t>i</w:t>
      </w:r>
      <w:r>
        <w:t xml:space="preserve">stanza di cinquant’anni. Non stiamo a giudicare </w:t>
      </w:r>
      <w:r w:rsidR="005B39BB">
        <w:t xml:space="preserve">adesso, </w:t>
      </w:r>
      <w:r>
        <w:t xml:space="preserve">se il compito </w:t>
      </w:r>
      <w:r w:rsidR="0089628C">
        <w:t>sia</w:t>
      </w:r>
      <w:r>
        <w:t xml:space="preserve"> stato adempiuto o meno, o in </w:t>
      </w:r>
      <w:r w:rsidR="006B6597">
        <w:t xml:space="preserve">quale </w:t>
      </w:r>
      <w:r>
        <w:t xml:space="preserve">misura; </w:t>
      </w:r>
      <w:r w:rsidR="006B6597">
        <w:t>conta sapere</w:t>
      </w:r>
      <w:r>
        <w:t xml:space="preserve"> che </w:t>
      </w:r>
      <w:r w:rsidR="008A5414">
        <w:t>l’aver ri</w:t>
      </w:r>
      <w:r w:rsidR="0089628C">
        <w:t xml:space="preserve">portato a nuovo splendore </w:t>
      </w:r>
      <w:r w:rsidR="008A5414">
        <w:t>l’</w:t>
      </w:r>
      <w:r>
        <w:t xml:space="preserve">identità </w:t>
      </w:r>
      <w:r w:rsidR="008A5414">
        <w:t xml:space="preserve">sorgiva </w:t>
      </w:r>
      <w:r>
        <w:t xml:space="preserve">e </w:t>
      </w:r>
      <w:r w:rsidR="008A5414">
        <w:t xml:space="preserve">la </w:t>
      </w:r>
      <w:r>
        <w:t>missione</w:t>
      </w:r>
      <w:r w:rsidR="008A5414">
        <w:t xml:space="preserve"> originaria </w:t>
      </w:r>
      <w:r w:rsidR="006B6597">
        <w:t>ci rapporta al</w:t>
      </w:r>
      <w:r>
        <w:t xml:space="preserve">la Chiesa </w:t>
      </w:r>
      <w:r w:rsidR="008A5414">
        <w:t>del Co</w:t>
      </w:r>
      <w:r w:rsidR="008A5414">
        <w:t>n</w:t>
      </w:r>
      <w:r w:rsidR="008A5414">
        <w:t>cilio</w:t>
      </w:r>
      <w:r w:rsidR="006B6597">
        <w:t xml:space="preserve"> come </w:t>
      </w:r>
      <w:r>
        <w:t xml:space="preserve">parte in causa, poiché </w:t>
      </w:r>
      <w:r w:rsidR="006B6597">
        <w:t xml:space="preserve">mette in questione la nostra idea di Chiesa e, con ciò stesso, </w:t>
      </w:r>
      <w:r>
        <w:t xml:space="preserve">interpella la nostra </w:t>
      </w:r>
      <w:r w:rsidR="006B6597">
        <w:t xml:space="preserve">stessa </w:t>
      </w:r>
      <w:r>
        <w:t>autocomprensione</w:t>
      </w:r>
      <w:r w:rsidR="005B39BB">
        <w:t xml:space="preserve"> credente</w:t>
      </w:r>
      <w:r>
        <w:t xml:space="preserve">. </w:t>
      </w:r>
      <w:r w:rsidR="00D6193D">
        <w:t>S</w:t>
      </w:r>
      <w:r>
        <w:t>e il valore e il s</w:t>
      </w:r>
      <w:r>
        <w:t>i</w:t>
      </w:r>
      <w:r>
        <w:t xml:space="preserve">gnificato di ciò che il Concilio insegna non ci </w:t>
      </w:r>
      <w:r w:rsidR="00F4418A">
        <w:t xml:space="preserve">coinvolgono in </w:t>
      </w:r>
      <w:r>
        <w:t xml:space="preserve">ciò che </w:t>
      </w:r>
      <w:r w:rsidR="00F4418A">
        <w:t xml:space="preserve">esso </w:t>
      </w:r>
      <w:r>
        <w:t xml:space="preserve">intende </w:t>
      </w:r>
      <w:r w:rsidR="00F4418A">
        <w:t xml:space="preserve">effettivamente </w:t>
      </w:r>
      <w:r>
        <w:t xml:space="preserve">essere – manifestazione della parola di Cristo nella potenza dello Spirito – allora </w:t>
      </w:r>
      <w:r w:rsidR="00797113">
        <w:t xml:space="preserve">la rivisitazione della </w:t>
      </w:r>
      <w:r w:rsidR="00797113">
        <w:rPr>
          <w:i/>
        </w:rPr>
        <w:t xml:space="preserve">Lumen Gentium </w:t>
      </w:r>
      <w:r w:rsidR="00797113" w:rsidRPr="00797113">
        <w:t>potrà al</w:t>
      </w:r>
      <w:r w:rsidR="00797113">
        <w:rPr>
          <w:i/>
        </w:rPr>
        <w:t xml:space="preserve"> </w:t>
      </w:r>
      <w:r w:rsidR="00797113">
        <w:t>più a</w:t>
      </w:r>
      <w:r w:rsidR="00F4418A">
        <w:t>ccumulare</w:t>
      </w:r>
      <w:r w:rsidR="00797113">
        <w:t xml:space="preserve"> qualche elemento </w:t>
      </w:r>
      <w:r w:rsidR="00F4418A">
        <w:t xml:space="preserve">ulteriore </w:t>
      </w:r>
      <w:r w:rsidR="0029008F">
        <w:t>di conoscenza o poco più</w:t>
      </w:r>
      <w:r w:rsidR="00E2721E">
        <w:t>.</w:t>
      </w:r>
      <w:r w:rsidR="00797113" w:rsidRPr="0054225D">
        <w:t xml:space="preserve"> </w:t>
      </w:r>
      <w:r w:rsidR="008A5414" w:rsidRPr="0054225D">
        <w:t>Ma, p</w:t>
      </w:r>
      <w:r w:rsidR="00C2274F" w:rsidRPr="0054225D">
        <w:t xml:space="preserve">iù che con elementi aggiuntivi, </w:t>
      </w:r>
      <w:r w:rsidR="008A5414" w:rsidRPr="0054225D">
        <w:t xml:space="preserve">in realtà noi </w:t>
      </w:r>
      <w:r w:rsidR="00C2274F" w:rsidRPr="0054225D">
        <w:t>siamo misurati co</w:t>
      </w:r>
      <w:r w:rsidR="00C2274F">
        <w:t>n la proposta di un modello che chiede un ripens</w:t>
      </w:r>
      <w:r w:rsidR="00C2274F">
        <w:t>a</w:t>
      </w:r>
      <w:r w:rsidR="00C2274F">
        <w:t xml:space="preserve">mento del nostro essere </w:t>
      </w:r>
      <w:r w:rsidR="008A5414">
        <w:t xml:space="preserve">credenti e del nostro essere </w:t>
      </w:r>
      <w:r w:rsidR="00C2274F">
        <w:t xml:space="preserve">Chiesa, </w:t>
      </w:r>
      <w:r w:rsidR="0089628C">
        <w:t>per diventare tali</w:t>
      </w:r>
      <w:r w:rsidR="007F131B">
        <w:t xml:space="preserve"> </w:t>
      </w:r>
      <w:r w:rsidR="00C2274F">
        <w:t>in m</w:t>
      </w:r>
      <w:r w:rsidR="00F4418A">
        <w:t>odo</w:t>
      </w:r>
      <w:r w:rsidR="00C2274F">
        <w:t xml:space="preserve"> più </w:t>
      </w:r>
      <w:r w:rsidR="00104DA5">
        <w:t>avvertito</w:t>
      </w:r>
      <w:r w:rsidR="00F4418A">
        <w:t xml:space="preserve"> e </w:t>
      </w:r>
      <w:r w:rsidR="00104DA5">
        <w:t>partecipe</w:t>
      </w:r>
      <w:r w:rsidR="00C2274F">
        <w:t xml:space="preserve">. </w:t>
      </w:r>
    </w:p>
    <w:p w:rsidR="0089628C" w:rsidRDefault="00BF5956" w:rsidP="00D6443A">
      <w:pPr>
        <w:ind w:firstLine="708"/>
      </w:pPr>
      <w:r>
        <w:t xml:space="preserve">Quale modello </w:t>
      </w:r>
      <w:r w:rsidR="00030A83">
        <w:t xml:space="preserve">di Chiesa </w:t>
      </w:r>
      <w:r>
        <w:t>pr</w:t>
      </w:r>
      <w:r w:rsidR="002B7354">
        <w:t>esenta</w:t>
      </w:r>
      <w:r>
        <w:t xml:space="preserve"> la </w:t>
      </w:r>
      <w:r>
        <w:rPr>
          <w:i/>
        </w:rPr>
        <w:t>Lumen Gentium</w:t>
      </w:r>
      <w:r>
        <w:t xml:space="preserve">? </w:t>
      </w:r>
    </w:p>
    <w:p w:rsidR="00BF5956" w:rsidRDefault="00D6193D" w:rsidP="00D6443A">
      <w:pPr>
        <w:ind w:firstLine="708"/>
        <w:rPr>
          <w:rFonts w:eastAsia="Calibri" w:cs="Times New Roman"/>
        </w:rPr>
      </w:pPr>
      <w:r>
        <w:t>La domanda solleva mol</w:t>
      </w:r>
      <w:r w:rsidR="00030A83">
        <w:t>te</w:t>
      </w:r>
      <w:r>
        <w:t xml:space="preserve"> più questioni di quante risposte lasci intravedere. Il dibattito post-conciliare sta lì a </w:t>
      </w:r>
      <w:r w:rsidR="00104DA5">
        <w:t>segnalare</w:t>
      </w:r>
      <w:r w:rsidR="00030A83">
        <w:t xml:space="preserve"> le animate controversie che sono state s</w:t>
      </w:r>
      <w:r w:rsidR="0089628C">
        <w:t>uscit</w:t>
      </w:r>
      <w:r w:rsidR="00030A83">
        <w:t>ate e, se possibile, acuisce l’esigenza di trovare un punto fermo che, senza d</w:t>
      </w:r>
      <w:r w:rsidR="00030A83">
        <w:t>i</w:t>
      </w:r>
      <w:r w:rsidR="00030A83">
        <w:t xml:space="preserve">sperdere i molteplici </w:t>
      </w:r>
      <w:r w:rsidR="00104DA5">
        <w:t xml:space="preserve">utili </w:t>
      </w:r>
      <w:r w:rsidR="00030A83">
        <w:t xml:space="preserve">esiti della ricerca, consenta di pervenire a </w:t>
      </w:r>
      <w:r w:rsidR="00605C8B">
        <w:t>una visione un</w:t>
      </w:r>
      <w:r w:rsidR="00605C8B">
        <w:t>i</w:t>
      </w:r>
      <w:r w:rsidR="00605C8B">
        <w:t>taria e coerente.</w:t>
      </w:r>
      <w:r w:rsidR="00CC442F">
        <w:t xml:space="preserve"> Papa Benedetto XVI, nel famoso discorso alla Curia romana del 2005</w:t>
      </w:r>
      <w:r w:rsidR="001E152E">
        <w:t>,</w:t>
      </w:r>
      <w:r w:rsidR="00CC442F">
        <w:t xml:space="preserve"> ha indicato un principio fondamentale per </w:t>
      </w:r>
      <w:r w:rsidR="001E152E">
        <w:t>l</w:t>
      </w:r>
      <w:r w:rsidR="00CC442F">
        <w:t>a corretta interpretazione del Concilio</w:t>
      </w:r>
      <w:r w:rsidR="0089628C">
        <w:t>,</w:t>
      </w:r>
      <w:r w:rsidR="00CC442F">
        <w:t xml:space="preserve"> parlando di </w:t>
      </w:r>
      <w:r w:rsidR="00CC442F" w:rsidRPr="004E56E2">
        <w:rPr>
          <w:rFonts w:eastAsia="Calibri" w:cs="Times New Roman"/>
        </w:rPr>
        <w:t>«“ermeneutica della riforma”, del rinnovamento nella cont</w:t>
      </w:r>
      <w:r w:rsidR="00CC442F" w:rsidRPr="004E56E2">
        <w:rPr>
          <w:rFonts w:eastAsia="Calibri" w:cs="Times New Roman"/>
        </w:rPr>
        <w:t>i</w:t>
      </w:r>
      <w:r w:rsidR="00CC442F" w:rsidRPr="004E56E2">
        <w:rPr>
          <w:rFonts w:eastAsia="Calibri" w:cs="Times New Roman"/>
        </w:rPr>
        <w:t>nuità dell’unico soggetto-Chiesa»</w:t>
      </w:r>
      <w:r w:rsidR="00CC442F">
        <w:rPr>
          <w:rFonts w:eastAsia="Calibri" w:cs="Times New Roman"/>
        </w:rPr>
        <w:t xml:space="preserve"> </w:t>
      </w:r>
      <w:r w:rsidR="00CC442F" w:rsidRPr="004E56E2">
        <w:rPr>
          <w:rStyle w:val="Rimandonotaapidipagina"/>
          <w:rFonts w:eastAsia="Calibri"/>
        </w:rPr>
        <w:footnoteReference w:id="2"/>
      </w:r>
      <w:r w:rsidR="00CC442F">
        <w:rPr>
          <w:rFonts w:eastAsia="Calibri" w:cs="Times New Roman"/>
        </w:rPr>
        <w:t>. Il significato di tale enunciato ha un chiaro fo</w:t>
      </w:r>
      <w:r w:rsidR="00CC442F">
        <w:rPr>
          <w:rFonts w:eastAsia="Calibri" w:cs="Times New Roman"/>
        </w:rPr>
        <w:t>n</w:t>
      </w:r>
      <w:r w:rsidR="00CC442F">
        <w:rPr>
          <w:rFonts w:eastAsia="Calibri" w:cs="Times New Roman"/>
        </w:rPr>
        <w:t xml:space="preserve">damento ecclesiologico nella formula “unico soggetto-Chiesa”, che non può essere concepito in senso a-storico, ma nemmeno </w:t>
      </w:r>
      <w:r w:rsidR="006468E4">
        <w:rPr>
          <w:rFonts w:eastAsia="Calibri" w:cs="Times New Roman"/>
        </w:rPr>
        <w:t>può essere ridotto a espressione mutev</w:t>
      </w:r>
      <w:r w:rsidR="006468E4">
        <w:rPr>
          <w:rFonts w:eastAsia="Calibri" w:cs="Times New Roman"/>
        </w:rPr>
        <w:t>o</w:t>
      </w:r>
      <w:r w:rsidR="006468E4">
        <w:rPr>
          <w:rFonts w:eastAsia="Calibri" w:cs="Times New Roman"/>
        </w:rPr>
        <w:lastRenderedPageBreak/>
        <w:t xml:space="preserve">le di processi intesi in termini storicistici. </w:t>
      </w:r>
      <w:r w:rsidR="00E7473C">
        <w:rPr>
          <w:rFonts w:eastAsia="Calibri" w:cs="Times New Roman"/>
        </w:rPr>
        <w:t xml:space="preserve">Non è un caso che il contenuto della </w:t>
      </w:r>
      <w:r w:rsidR="00E7473C">
        <w:rPr>
          <w:rFonts w:eastAsia="Calibri" w:cs="Times New Roman"/>
          <w:i/>
        </w:rPr>
        <w:t>L</w:t>
      </w:r>
      <w:r w:rsidR="00E7473C">
        <w:rPr>
          <w:rFonts w:eastAsia="Calibri" w:cs="Times New Roman"/>
          <w:i/>
        </w:rPr>
        <w:t>u</w:t>
      </w:r>
      <w:r w:rsidR="00E7473C">
        <w:rPr>
          <w:rFonts w:eastAsia="Calibri" w:cs="Times New Roman"/>
          <w:i/>
        </w:rPr>
        <w:t xml:space="preserve">men Gentium </w:t>
      </w:r>
      <w:r w:rsidR="00E7473C">
        <w:rPr>
          <w:rFonts w:eastAsia="Calibri" w:cs="Times New Roman"/>
        </w:rPr>
        <w:t xml:space="preserve">si ponga in netta antitesi con tali fraintendimenti. </w:t>
      </w:r>
      <w:r w:rsidR="001B0DD8">
        <w:rPr>
          <w:rFonts w:eastAsia="Calibri" w:cs="Times New Roman"/>
        </w:rPr>
        <w:t>La natura della Chiesa non consente di isolare nessuno dei momenti della sua vicenda storico-teologica dalla sua origine e dal suo</w:t>
      </w:r>
      <w:r w:rsidR="00104DA5">
        <w:rPr>
          <w:rFonts w:eastAsia="Calibri" w:cs="Times New Roman"/>
        </w:rPr>
        <w:t xml:space="preserve"> intero</w:t>
      </w:r>
      <w:r w:rsidR="001B0DD8">
        <w:rPr>
          <w:rFonts w:eastAsia="Calibri" w:cs="Times New Roman"/>
        </w:rPr>
        <w:t xml:space="preserve"> dispiegarsi nel </w:t>
      </w:r>
      <w:r w:rsidR="00104DA5">
        <w:rPr>
          <w:rFonts w:eastAsia="Calibri" w:cs="Times New Roman"/>
        </w:rPr>
        <w:t>volgere</w:t>
      </w:r>
      <w:r w:rsidR="001B0DD8">
        <w:rPr>
          <w:rFonts w:eastAsia="Calibri" w:cs="Times New Roman"/>
        </w:rPr>
        <w:t xml:space="preserve"> del tempo. </w:t>
      </w:r>
    </w:p>
    <w:p w:rsidR="00231975" w:rsidRDefault="00231975" w:rsidP="00D6443A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>Il criterio ermeneutico enunciato da Benedetto XVI presenta implicazioni feconde anche nell’approccio interpretativo a</w:t>
      </w:r>
      <w:r w:rsidR="00F4418A">
        <w:rPr>
          <w:rFonts w:eastAsia="Calibri" w:cs="Times New Roman"/>
        </w:rPr>
        <w:t xml:space="preserve"> questo </w:t>
      </w:r>
      <w:r>
        <w:rPr>
          <w:rFonts w:eastAsia="Calibri" w:cs="Times New Roman"/>
        </w:rPr>
        <w:t xml:space="preserve"> singolo e peculiare docume</w:t>
      </w:r>
      <w:r>
        <w:rPr>
          <w:rFonts w:eastAsia="Calibri" w:cs="Times New Roman"/>
        </w:rPr>
        <w:t>n</w:t>
      </w:r>
      <w:r>
        <w:rPr>
          <w:rFonts w:eastAsia="Calibri" w:cs="Times New Roman"/>
        </w:rPr>
        <w:t>to sulla Chiesa, poiché segnala come</w:t>
      </w:r>
      <w:r w:rsidR="0089628C">
        <w:rPr>
          <w:rFonts w:eastAsia="Calibri" w:cs="Times New Roman"/>
        </w:rPr>
        <w:t xml:space="preserve"> –</w:t>
      </w:r>
      <w:r>
        <w:rPr>
          <w:rFonts w:eastAsia="Calibri" w:cs="Times New Roman"/>
        </w:rPr>
        <w:t xml:space="preserve"> al pari della comunità ecclesiale nel suo i</w:t>
      </w:r>
      <w:r>
        <w:rPr>
          <w:rFonts w:eastAsia="Calibri" w:cs="Times New Roman"/>
        </w:rPr>
        <w:t>n</w:t>
      </w:r>
      <w:r>
        <w:rPr>
          <w:rFonts w:eastAsia="Calibri" w:cs="Times New Roman"/>
        </w:rPr>
        <w:t>sieme</w:t>
      </w:r>
      <w:r w:rsidR="0089628C">
        <w:rPr>
          <w:rFonts w:eastAsia="Calibri" w:cs="Times New Roman"/>
        </w:rPr>
        <w:t xml:space="preserve"> – </w:t>
      </w:r>
      <w:r>
        <w:rPr>
          <w:rFonts w:eastAsia="Calibri" w:cs="Times New Roman"/>
        </w:rPr>
        <w:t xml:space="preserve"> anche un evento straordinario come un Concilio non possa essere compr</w:t>
      </w:r>
      <w:r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so se non nella rete della molteplicità </w:t>
      </w:r>
      <w:r w:rsidR="006C1D9D">
        <w:rPr>
          <w:rFonts w:eastAsia="Calibri" w:cs="Times New Roman"/>
        </w:rPr>
        <w:t>delle re</w:t>
      </w:r>
      <w:r w:rsidR="000173A7">
        <w:rPr>
          <w:rFonts w:eastAsia="Calibri" w:cs="Times New Roman"/>
        </w:rPr>
        <w:t>lazioni che intrattiene</w:t>
      </w:r>
      <w:r w:rsidR="006C1D9D">
        <w:rPr>
          <w:rFonts w:eastAsia="Calibri" w:cs="Times New Roman"/>
        </w:rPr>
        <w:t xml:space="preserve"> con la vi</w:t>
      </w:r>
      <w:r w:rsidR="000173A7">
        <w:rPr>
          <w:rFonts w:eastAsia="Calibri" w:cs="Times New Roman"/>
        </w:rPr>
        <w:t>ta e la storia tutta della Chiesa</w:t>
      </w:r>
      <w:r w:rsidR="006C1D9D">
        <w:rPr>
          <w:rFonts w:eastAsia="Calibri" w:cs="Times New Roman"/>
        </w:rPr>
        <w:t xml:space="preserve">, ma anche al proprio interno nell’intreccio tra evento </w:t>
      </w:r>
      <w:r w:rsidR="000173A7">
        <w:rPr>
          <w:rFonts w:eastAsia="Calibri" w:cs="Times New Roman"/>
        </w:rPr>
        <w:t>conc</w:t>
      </w:r>
      <w:r w:rsidR="000173A7">
        <w:rPr>
          <w:rFonts w:eastAsia="Calibri" w:cs="Times New Roman"/>
        </w:rPr>
        <w:t>i</w:t>
      </w:r>
      <w:r w:rsidR="000173A7">
        <w:rPr>
          <w:rFonts w:eastAsia="Calibri" w:cs="Times New Roman"/>
        </w:rPr>
        <w:t>liare</w:t>
      </w:r>
      <w:r w:rsidR="006C1D9D">
        <w:rPr>
          <w:rFonts w:eastAsia="Calibri" w:cs="Times New Roman"/>
        </w:rPr>
        <w:t xml:space="preserve"> e testi prodotti. </w:t>
      </w:r>
      <w:r w:rsidR="00D54303">
        <w:rPr>
          <w:rFonts w:eastAsia="Calibri" w:cs="Times New Roman"/>
        </w:rPr>
        <w:t>Così s</w:t>
      </w:r>
      <w:r w:rsidR="000173A7">
        <w:rPr>
          <w:rFonts w:eastAsia="Calibri" w:cs="Times New Roman"/>
        </w:rPr>
        <w:t xml:space="preserve">iamo </w:t>
      </w:r>
      <w:r w:rsidR="00545FF8">
        <w:rPr>
          <w:rFonts w:eastAsia="Calibri" w:cs="Times New Roman"/>
        </w:rPr>
        <w:t>coerentemente</w:t>
      </w:r>
      <w:r w:rsidR="000173A7">
        <w:rPr>
          <w:rFonts w:eastAsia="Calibri" w:cs="Times New Roman"/>
        </w:rPr>
        <w:t xml:space="preserve"> condotti</w:t>
      </w:r>
      <w:r w:rsidR="00545FF8">
        <w:rPr>
          <w:rFonts w:eastAsia="Calibri" w:cs="Times New Roman"/>
        </w:rPr>
        <w:t xml:space="preserve"> a formulare un criterio i</w:t>
      </w:r>
      <w:r w:rsidR="00545FF8">
        <w:rPr>
          <w:rFonts w:eastAsia="Calibri" w:cs="Times New Roman"/>
        </w:rPr>
        <w:t>n</w:t>
      </w:r>
      <w:r w:rsidR="00545FF8">
        <w:rPr>
          <w:rFonts w:eastAsia="Calibri" w:cs="Times New Roman"/>
        </w:rPr>
        <w:t>terpretativo del do</w:t>
      </w:r>
      <w:r w:rsidR="000173A7">
        <w:rPr>
          <w:rFonts w:eastAsia="Calibri" w:cs="Times New Roman"/>
        </w:rPr>
        <w:t>cumento che</w:t>
      </w:r>
      <w:r w:rsidR="00545FF8">
        <w:rPr>
          <w:rFonts w:eastAsia="Calibri" w:cs="Times New Roman"/>
        </w:rPr>
        <w:t xml:space="preserve"> </w:t>
      </w:r>
      <w:r w:rsidR="000173A7">
        <w:rPr>
          <w:rFonts w:eastAsia="Calibri" w:cs="Times New Roman"/>
        </w:rPr>
        <w:t xml:space="preserve">– </w:t>
      </w:r>
      <w:r w:rsidR="00545FF8">
        <w:rPr>
          <w:rFonts w:eastAsia="Calibri" w:cs="Times New Roman"/>
        </w:rPr>
        <w:t>in</w:t>
      </w:r>
      <w:r w:rsidR="000173A7">
        <w:rPr>
          <w:rFonts w:eastAsia="Calibri" w:cs="Times New Roman"/>
        </w:rPr>
        <w:t xml:space="preserve"> analogia con l’esegesi biblica – </w:t>
      </w:r>
      <w:r w:rsidR="00545FF8">
        <w:rPr>
          <w:rFonts w:eastAsia="Calibri" w:cs="Times New Roman"/>
        </w:rPr>
        <w:t xml:space="preserve"> può essere enunciato come </w:t>
      </w:r>
      <w:r w:rsidR="001E152E">
        <w:rPr>
          <w:rFonts w:eastAsia="Calibri" w:cs="Times New Roman"/>
        </w:rPr>
        <w:t>“</w:t>
      </w:r>
      <w:r w:rsidR="00545FF8">
        <w:rPr>
          <w:rFonts w:eastAsia="Calibri" w:cs="Times New Roman"/>
        </w:rPr>
        <w:t>lettura canonica</w:t>
      </w:r>
      <w:r w:rsidR="001E152E">
        <w:rPr>
          <w:rFonts w:eastAsia="Calibri" w:cs="Times New Roman"/>
        </w:rPr>
        <w:t>”</w:t>
      </w:r>
      <w:r w:rsidR="00545FF8">
        <w:rPr>
          <w:rFonts w:eastAsia="Calibri" w:cs="Times New Roman"/>
        </w:rPr>
        <w:t xml:space="preserve">, che considera il </w:t>
      </w:r>
      <w:r w:rsidR="0089628C">
        <w:rPr>
          <w:rFonts w:eastAsia="Calibri" w:cs="Times New Roman"/>
        </w:rPr>
        <w:t xml:space="preserve">testo </w:t>
      </w:r>
      <w:r w:rsidR="00545FF8">
        <w:rPr>
          <w:rFonts w:eastAsia="Calibri" w:cs="Times New Roman"/>
        </w:rPr>
        <w:t>nella sua struttura e co</w:t>
      </w:r>
      <w:r w:rsidR="00545FF8">
        <w:rPr>
          <w:rFonts w:eastAsia="Calibri" w:cs="Times New Roman"/>
        </w:rPr>
        <w:t>m</w:t>
      </w:r>
      <w:r w:rsidR="00545FF8">
        <w:rPr>
          <w:rFonts w:eastAsia="Calibri" w:cs="Times New Roman"/>
        </w:rPr>
        <w:t>posizione definite nel</w:t>
      </w:r>
      <w:r w:rsidR="000173A7">
        <w:rPr>
          <w:rFonts w:eastAsia="Calibri" w:cs="Times New Roman"/>
        </w:rPr>
        <w:t xml:space="preserve"> testo promulgato</w:t>
      </w:r>
      <w:r w:rsidR="00545FF8">
        <w:rPr>
          <w:rFonts w:eastAsia="Calibri" w:cs="Times New Roman"/>
        </w:rPr>
        <w:t xml:space="preserve">. </w:t>
      </w:r>
      <w:r w:rsidR="00CB11FE">
        <w:rPr>
          <w:rFonts w:eastAsia="Calibri" w:cs="Times New Roman"/>
        </w:rPr>
        <w:t>Tale criterio non deve temere di vedere mortificato l’apporto dell’</w:t>
      </w:r>
      <w:r w:rsidR="000173A7">
        <w:rPr>
          <w:rFonts w:eastAsia="Calibri" w:cs="Times New Roman"/>
        </w:rPr>
        <w:t>applicazione al testo</w:t>
      </w:r>
      <w:r w:rsidR="00CB11FE">
        <w:rPr>
          <w:rFonts w:eastAsia="Calibri" w:cs="Times New Roman"/>
        </w:rPr>
        <w:t xml:space="preserve"> del metodo storico-critico. La mole di materiali e di studi critici accumulata in questi decenni ha mostrato ampiamente la differenza di sensibilità che si </w:t>
      </w:r>
      <w:r w:rsidR="000173A7">
        <w:rPr>
          <w:rFonts w:eastAsia="Calibri" w:cs="Times New Roman"/>
        </w:rPr>
        <w:t>sono intrecciate</w:t>
      </w:r>
      <w:r w:rsidR="00281A7F">
        <w:rPr>
          <w:rFonts w:eastAsia="Calibri" w:cs="Times New Roman"/>
        </w:rPr>
        <w:t xml:space="preserve"> nell’elaborazione dei documenti</w:t>
      </w:r>
      <w:r w:rsidR="0007514A">
        <w:rPr>
          <w:rFonts w:eastAsia="Calibri" w:cs="Times New Roman"/>
        </w:rPr>
        <w:t xml:space="preserve"> e della stessa </w:t>
      </w:r>
      <w:r w:rsidR="0007514A">
        <w:rPr>
          <w:rFonts w:eastAsia="Calibri" w:cs="Times New Roman"/>
          <w:i/>
        </w:rPr>
        <w:t>Lumen Gentium</w:t>
      </w:r>
      <w:r w:rsidR="00281A7F">
        <w:rPr>
          <w:rFonts w:eastAsia="Calibri" w:cs="Times New Roman"/>
        </w:rPr>
        <w:t xml:space="preserve">, </w:t>
      </w:r>
      <w:r w:rsidR="0007514A">
        <w:rPr>
          <w:rFonts w:eastAsia="Calibri" w:cs="Times New Roman"/>
        </w:rPr>
        <w:t>la</w:t>
      </w:r>
      <w:r w:rsidR="00281A7F">
        <w:rPr>
          <w:rFonts w:eastAsia="Calibri" w:cs="Times New Roman"/>
        </w:rPr>
        <w:t xml:space="preserve"> qua</w:t>
      </w:r>
      <w:r w:rsidR="0007514A">
        <w:rPr>
          <w:rFonts w:eastAsia="Calibri" w:cs="Times New Roman"/>
        </w:rPr>
        <w:t>le porta</w:t>
      </w:r>
      <w:r w:rsidR="00281A7F">
        <w:rPr>
          <w:rFonts w:eastAsia="Calibri" w:cs="Times New Roman"/>
        </w:rPr>
        <w:t xml:space="preserve"> tracce più o meno riconoscibili di a</w:t>
      </w:r>
      <w:r w:rsidR="00281A7F">
        <w:rPr>
          <w:rFonts w:eastAsia="Calibri" w:cs="Times New Roman"/>
        </w:rPr>
        <w:t>p</w:t>
      </w:r>
      <w:r w:rsidR="00281A7F">
        <w:rPr>
          <w:rFonts w:eastAsia="Calibri" w:cs="Times New Roman"/>
        </w:rPr>
        <w:t xml:space="preserve">procci teologici diversi se non, per qualche verso, anche </w:t>
      </w:r>
      <w:r w:rsidR="00831A1A">
        <w:rPr>
          <w:rFonts w:eastAsia="Calibri" w:cs="Times New Roman"/>
        </w:rPr>
        <w:t>contra</w:t>
      </w:r>
      <w:bookmarkStart w:id="0" w:name="_GoBack"/>
      <w:bookmarkEnd w:id="0"/>
      <w:r w:rsidR="00281A7F">
        <w:rPr>
          <w:rFonts w:eastAsia="Calibri" w:cs="Times New Roman"/>
        </w:rPr>
        <w:t xml:space="preserve">pposti. </w:t>
      </w:r>
      <w:r w:rsidR="00553610">
        <w:rPr>
          <w:rFonts w:eastAsia="Calibri" w:cs="Times New Roman"/>
        </w:rPr>
        <w:t>Facile osse</w:t>
      </w:r>
      <w:r w:rsidR="00553610">
        <w:rPr>
          <w:rFonts w:eastAsia="Calibri" w:cs="Times New Roman"/>
        </w:rPr>
        <w:t>r</w:t>
      </w:r>
      <w:r w:rsidR="00553610">
        <w:rPr>
          <w:rFonts w:eastAsia="Calibri" w:cs="Times New Roman"/>
        </w:rPr>
        <w:t>vare che a inseguire tali divaricazioni si perviene solo alla loro sterile constatazione e, al limite</w:t>
      </w:r>
      <w:r w:rsidR="00044DF2">
        <w:rPr>
          <w:rFonts w:eastAsia="Calibri" w:cs="Times New Roman"/>
        </w:rPr>
        <w:t>, alla scelta tendenzialmente t</w:t>
      </w:r>
      <w:r w:rsidR="00553610">
        <w:rPr>
          <w:rFonts w:eastAsia="Calibri" w:cs="Times New Roman"/>
        </w:rPr>
        <w:t xml:space="preserve">eologica </w:t>
      </w:r>
      <w:r w:rsidR="00620153">
        <w:rPr>
          <w:rFonts w:eastAsia="Calibri" w:cs="Times New Roman"/>
        </w:rPr>
        <w:t xml:space="preserve">(se non addirittura ideologica) </w:t>
      </w:r>
      <w:r w:rsidR="00553610">
        <w:rPr>
          <w:rFonts w:eastAsia="Calibri" w:cs="Times New Roman"/>
        </w:rPr>
        <w:t xml:space="preserve">di preferenza per l’una o per l’altra. </w:t>
      </w:r>
      <w:r w:rsidR="005B5D02">
        <w:rPr>
          <w:rFonts w:eastAsia="Calibri" w:cs="Times New Roman"/>
        </w:rPr>
        <w:t>Senza insinuare artificiose contrapposizioni, è proprio qui il caso di evidenziare la disti</w:t>
      </w:r>
      <w:r w:rsidR="008D26A7">
        <w:rPr>
          <w:rFonts w:eastAsia="Calibri" w:cs="Times New Roman"/>
        </w:rPr>
        <w:t>nzione tra teologia e dottrina, accomunate senz’altro dalla storicità oltre che dai contenuti del</w:t>
      </w:r>
      <w:r w:rsidR="00620153">
        <w:rPr>
          <w:rFonts w:eastAsia="Calibri" w:cs="Times New Roman"/>
        </w:rPr>
        <w:t xml:space="preserve"> sapere della fede</w:t>
      </w:r>
      <w:r w:rsidR="008D26A7">
        <w:rPr>
          <w:rFonts w:eastAsia="Calibri" w:cs="Times New Roman"/>
        </w:rPr>
        <w:t>, ma differe</w:t>
      </w:r>
      <w:r w:rsidR="008D26A7">
        <w:rPr>
          <w:rFonts w:eastAsia="Calibri" w:cs="Times New Roman"/>
        </w:rPr>
        <w:t>n</w:t>
      </w:r>
      <w:r w:rsidR="008D26A7">
        <w:rPr>
          <w:rFonts w:eastAsia="Calibri" w:cs="Times New Roman"/>
        </w:rPr>
        <w:t>ziate</w:t>
      </w:r>
      <w:r w:rsidR="00620153">
        <w:rPr>
          <w:rFonts w:eastAsia="Calibri" w:cs="Times New Roman"/>
        </w:rPr>
        <w:t xml:space="preserve">, nel primo caso,  </w:t>
      </w:r>
      <w:r w:rsidR="000173A7">
        <w:rPr>
          <w:rFonts w:eastAsia="Calibri" w:cs="Times New Roman"/>
        </w:rPr>
        <w:t xml:space="preserve">per </w:t>
      </w:r>
      <w:r w:rsidR="008D26A7">
        <w:rPr>
          <w:rFonts w:eastAsia="Calibri" w:cs="Times New Roman"/>
        </w:rPr>
        <w:t>la prevalenza della particolarità dell’opzione teorica de</w:t>
      </w:r>
      <w:r w:rsidR="008D26A7">
        <w:rPr>
          <w:rFonts w:eastAsia="Calibri" w:cs="Times New Roman"/>
        </w:rPr>
        <w:t>t</w:t>
      </w:r>
      <w:r w:rsidR="008D26A7">
        <w:rPr>
          <w:rFonts w:eastAsia="Calibri" w:cs="Times New Roman"/>
        </w:rPr>
        <w:t>tata</w:t>
      </w:r>
      <w:r w:rsidR="00620153">
        <w:rPr>
          <w:rFonts w:eastAsia="Calibri" w:cs="Times New Roman"/>
        </w:rPr>
        <w:t xml:space="preserve"> </w:t>
      </w:r>
      <w:r w:rsidR="000173A7">
        <w:rPr>
          <w:rFonts w:eastAsia="Calibri" w:cs="Times New Roman"/>
        </w:rPr>
        <w:t xml:space="preserve">dai soggetti e </w:t>
      </w:r>
      <w:r w:rsidR="008D26A7">
        <w:rPr>
          <w:rFonts w:eastAsia="Calibri" w:cs="Times New Roman"/>
        </w:rPr>
        <w:t>dal contesto</w:t>
      </w:r>
      <w:r w:rsidR="00044DF2">
        <w:rPr>
          <w:rFonts w:eastAsia="Calibri" w:cs="Times New Roman"/>
        </w:rPr>
        <w:t xml:space="preserve"> e, nel secondo,</w:t>
      </w:r>
      <w:r w:rsidR="008D26A7">
        <w:rPr>
          <w:rFonts w:eastAsia="Calibri" w:cs="Times New Roman"/>
        </w:rPr>
        <w:t xml:space="preserve"> dall</w:t>
      </w:r>
      <w:r w:rsidR="00EB27BC">
        <w:rPr>
          <w:rFonts w:eastAsia="Calibri" w:cs="Times New Roman"/>
        </w:rPr>
        <w:t xml:space="preserve">a </w:t>
      </w:r>
      <w:r w:rsidR="000173A7">
        <w:rPr>
          <w:rFonts w:eastAsia="Calibri" w:cs="Times New Roman"/>
        </w:rPr>
        <w:t xml:space="preserve">ricerca predominante della </w:t>
      </w:r>
      <w:r w:rsidR="00EB27BC">
        <w:rPr>
          <w:rFonts w:eastAsia="Calibri" w:cs="Times New Roman"/>
        </w:rPr>
        <w:t>r</w:t>
      </w:r>
      <w:r w:rsidR="00EB27BC">
        <w:rPr>
          <w:rFonts w:eastAsia="Calibri" w:cs="Times New Roman"/>
        </w:rPr>
        <w:t>i</w:t>
      </w:r>
      <w:r w:rsidR="00EB27BC">
        <w:rPr>
          <w:rFonts w:eastAsia="Calibri" w:cs="Times New Roman"/>
        </w:rPr>
        <w:t>sposta al dono della fede accolta n</w:t>
      </w:r>
      <w:r w:rsidR="008D26A7">
        <w:rPr>
          <w:rFonts w:eastAsia="Calibri" w:cs="Times New Roman"/>
        </w:rPr>
        <w:t xml:space="preserve">ella continuità </w:t>
      </w:r>
      <w:r w:rsidR="00EB27BC">
        <w:rPr>
          <w:rFonts w:eastAsia="Calibri" w:cs="Times New Roman"/>
        </w:rPr>
        <w:t xml:space="preserve">con l’evento originario </w:t>
      </w:r>
      <w:r w:rsidR="008D26A7">
        <w:rPr>
          <w:rFonts w:eastAsia="Calibri" w:cs="Times New Roman"/>
        </w:rPr>
        <w:t xml:space="preserve">e </w:t>
      </w:r>
      <w:r w:rsidR="00EB27BC">
        <w:rPr>
          <w:rFonts w:eastAsia="Calibri" w:cs="Times New Roman"/>
        </w:rPr>
        <w:t>n</w:t>
      </w:r>
      <w:r w:rsidR="008D26A7">
        <w:rPr>
          <w:rFonts w:eastAsia="Calibri" w:cs="Times New Roman"/>
        </w:rPr>
        <w:t>ell’unità dell</w:t>
      </w:r>
      <w:r w:rsidR="00EB27BC">
        <w:rPr>
          <w:rFonts w:eastAsia="Calibri" w:cs="Times New Roman"/>
        </w:rPr>
        <w:t>a comunione ecclesiale</w:t>
      </w:r>
      <w:r w:rsidR="008D26A7">
        <w:rPr>
          <w:rFonts w:eastAsia="Calibri" w:cs="Times New Roman"/>
        </w:rPr>
        <w:t xml:space="preserve">. </w:t>
      </w:r>
    </w:p>
    <w:p w:rsidR="00DA47E5" w:rsidRDefault="000C5195" w:rsidP="00D6443A">
      <w:pPr>
        <w:ind w:firstLine="708"/>
      </w:pPr>
      <w:r>
        <w:t xml:space="preserve">Simili considerazioni trovano </w:t>
      </w:r>
      <w:r w:rsidR="00EA6484">
        <w:t xml:space="preserve">riscontro </w:t>
      </w:r>
      <w:r>
        <w:t>ne</w:t>
      </w:r>
      <w:r w:rsidR="00EA6484">
        <w:t xml:space="preserve">gli sviluppi che hanno segnato l’interpretazione della </w:t>
      </w:r>
      <w:r w:rsidR="00EA6484">
        <w:rPr>
          <w:i/>
        </w:rPr>
        <w:t>Lumen Gentium</w:t>
      </w:r>
      <w:r w:rsidR="00EA6484">
        <w:t xml:space="preserve"> </w:t>
      </w:r>
      <w:r w:rsidR="00044DF2">
        <w:t>nel corso di</w:t>
      </w:r>
      <w:r w:rsidR="00EA6484">
        <w:t xml:space="preserve"> questi decenni, centrata, di volta in volta, sulle categorie di sacramento, di popolo di Dio, di comunione, per citare solo </w:t>
      </w:r>
      <w:r w:rsidR="00620153">
        <w:t xml:space="preserve">i </w:t>
      </w:r>
      <w:r w:rsidR="00EA6484">
        <w:t xml:space="preserve">passaggi </w:t>
      </w:r>
      <w:r w:rsidR="00620153">
        <w:t xml:space="preserve">più </w:t>
      </w:r>
      <w:r w:rsidR="00EA6484">
        <w:t>rilevanti</w:t>
      </w:r>
      <w:r>
        <w:t xml:space="preserve"> </w:t>
      </w:r>
      <w:r>
        <w:rPr>
          <w:rStyle w:val="Rimandonotaapidipagina"/>
        </w:rPr>
        <w:footnoteReference w:id="3"/>
      </w:r>
      <w:r w:rsidR="00EA6484">
        <w:t xml:space="preserve">. </w:t>
      </w:r>
      <w:r w:rsidR="00711847">
        <w:t>Sulla rispondenza di tali accen</w:t>
      </w:r>
      <w:r w:rsidR="00044DF2">
        <w:t>tuazioni all’effettualità del testo e all’</w:t>
      </w:r>
      <w:r w:rsidR="00711847">
        <w:t xml:space="preserve">intenzionalità del Concilio non c’è motivo di discutere; ce n’è invece se prendiamo in considerazione la legittima rivendicazione di altri aspetti di essere tenuti </w:t>
      </w:r>
      <w:r w:rsidR="00044DF2">
        <w:t>n</w:t>
      </w:r>
      <w:r w:rsidR="00711847">
        <w:t>ella dovuta atte</w:t>
      </w:r>
      <w:r w:rsidR="00DA47E5">
        <w:t xml:space="preserve">nzione </w:t>
      </w:r>
      <w:r w:rsidR="00B54595">
        <w:t>– o di essi stessi considerati in maniera non esclusiva</w:t>
      </w:r>
      <w:r w:rsidR="000173A7">
        <w:t xml:space="preserve"> o unilaterale</w:t>
      </w:r>
      <w:r w:rsidR="00B54595">
        <w:t xml:space="preserve"> – </w:t>
      </w:r>
      <w:r w:rsidR="00DA47E5">
        <w:t>per un’</w:t>
      </w:r>
      <w:r w:rsidR="00711847">
        <w:t xml:space="preserve">integrale comprensione della Chiesa secondo l’insegnamento della </w:t>
      </w:r>
      <w:r w:rsidR="00711847">
        <w:rPr>
          <w:i/>
        </w:rPr>
        <w:t>Lumen Gentium</w:t>
      </w:r>
      <w:r w:rsidR="00711847">
        <w:t xml:space="preserve">. </w:t>
      </w:r>
    </w:p>
    <w:p w:rsidR="00D344D2" w:rsidRDefault="00711847" w:rsidP="00D6443A">
      <w:pPr>
        <w:ind w:firstLine="708"/>
      </w:pPr>
      <w:r>
        <w:t>Per queste ragioni</w:t>
      </w:r>
      <w:r w:rsidR="00DA47E5">
        <w:t>,</w:t>
      </w:r>
      <w:r w:rsidR="002F64F5">
        <w:t xml:space="preserve"> allo scopo di approssimarci al modello di Chiesa che </w:t>
      </w:r>
      <w:r w:rsidR="00D344D2">
        <w:t>ce</w:t>
      </w:r>
      <w:r w:rsidR="00D344D2">
        <w:t>r</w:t>
      </w:r>
      <w:r w:rsidR="00D344D2">
        <w:t>chiamo,</w:t>
      </w:r>
      <w:r w:rsidR="002F2DDB">
        <w:t xml:space="preserve"> d</w:t>
      </w:r>
      <w:r w:rsidR="00DA47E5">
        <w:t>o</w:t>
      </w:r>
      <w:r w:rsidR="002F2DDB">
        <w:t>bb</w:t>
      </w:r>
      <w:r w:rsidR="00DA47E5">
        <w:t xml:space="preserve">iamo ragionevolmente attenerci </w:t>
      </w:r>
      <w:r w:rsidR="0083374F">
        <w:t xml:space="preserve">– primo – </w:t>
      </w:r>
      <w:r w:rsidR="00DA47E5">
        <w:t>alla struttura della costit</w:t>
      </w:r>
      <w:r w:rsidR="00DA47E5">
        <w:t>u</w:t>
      </w:r>
      <w:r w:rsidR="00DA47E5">
        <w:t xml:space="preserve">zione </w:t>
      </w:r>
      <w:r w:rsidR="002F64F5">
        <w:t xml:space="preserve">dogmatica e </w:t>
      </w:r>
      <w:r w:rsidR="0083374F">
        <w:t xml:space="preserve">– secondo – </w:t>
      </w:r>
      <w:r w:rsidR="002F64F5">
        <w:t xml:space="preserve">all’integrità dei suoi contenuti </w:t>
      </w:r>
      <w:r w:rsidR="00DA47E5">
        <w:t xml:space="preserve">così come </w:t>
      </w:r>
      <w:r w:rsidR="002F64F5">
        <w:t xml:space="preserve">essa </w:t>
      </w:r>
      <w:r w:rsidR="00DA47E5">
        <w:t>è usc</w:t>
      </w:r>
      <w:r w:rsidR="00DA47E5">
        <w:t>i</w:t>
      </w:r>
      <w:r w:rsidR="00DA47E5">
        <w:lastRenderedPageBreak/>
        <w:t xml:space="preserve">ta dall’approvazione dei </w:t>
      </w:r>
      <w:r w:rsidR="002F64F5">
        <w:t xml:space="preserve">Padri conciliari. </w:t>
      </w:r>
      <w:r w:rsidR="00D344D2">
        <w:t>Ciò comporta due conseguenze. La prima vuole che i temi e il loro ordine organizzativo all’interno del documento siano ten</w:t>
      </w:r>
      <w:r w:rsidR="00D344D2">
        <w:t>u</w:t>
      </w:r>
      <w:r w:rsidR="00D344D2">
        <w:t>ti nel debito conto. La seconda invita a ripercorrere il dibattito ermeneutico per r</w:t>
      </w:r>
      <w:r w:rsidR="00D344D2">
        <w:t>i</w:t>
      </w:r>
      <w:r w:rsidR="00D344D2">
        <w:t>trovare le fila di un tessuto che si tiene insieme e perciò chiede di integrare, e non contrapporre, le categorie di volta in volta messe in evidenza e talora perfino ass</w:t>
      </w:r>
      <w:r w:rsidR="00D344D2">
        <w:t>o</w:t>
      </w:r>
      <w:r w:rsidR="00D344D2">
        <w:t xml:space="preserve">lutizzate. </w:t>
      </w:r>
    </w:p>
    <w:p w:rsidR="00F97CDE" w:rsidRDefault="00D344D2" w:rsidP="00F97CDE">
      <w:pPr>
        <w:ind w:firstLine="708"/>
      </w:pPr>
      <w:r>
        <w:t>La Chiesa ci appare come mistero</w:t>
      </w:r>
      <w:r w:rsidR="00005A44">
        <w:t xml:space="preserve"> (cap. I)</w:t>
      </w:r>
      <w:r>
        <w:t>,</w:t>
      </w:r>
      <w:r w:rsidR="00005A44">
        <w:t xml:space="preserve"> cioè realtà divino-umana dall’</w:t>
      </w:r>
      <w:r w:rsidR="0054225D">
        <w:t>apertura</w:t>
      </w:r>
      <w:r>
        <w:t xml:space="preserve"> popolare, cioè inclusiva e universale</w:t>
      </w:r>
      <w:r w:rsidR="002D2FA8">
        <w:t xml:space="preserve"> (cap. II)</w:t>
      </w:r>
      <w:r>
        <w:t>, la cui articolazione i</w:t>
      </w:r>
      <w:r>
        <w:t>n</w:t>
      </w:r>
      <w:r>
        <w:t>terna conferisce, sulla base della comune dignità battesimale, una responsabilità s</w:t>
      </w:r>
      <w:r>
        <w:t>a</w:t>
      </w:r>
      <w:r>
        <w:t>cramentale specifica ai portatori del ministero ordinato</w:t>
      </w:r>
      <w:r w:rsidR="00005A44">
        <w:t xml:space="preserve"> (cap. III)</w:t>
      </w:r>
      <w:r>
        <w:t xml:space="preserve">, ma ugualmente una dignità propria ai laici </w:t>
      </w:r>
      <w:r w:rsidR="00005A44">
        <w:t xml:space="preserve">(cap. IV) </w:t>
      </w:r>
      <w:r>
        <w:t xml:space="preserve">e ai religiosi </w:t>
      </w:r>
      <w:r w:rsidR="00005A44">
        <w:t xml:space="preserve">(cap. VI) </w:t>
      </w:r>
      <w:r>
        <w:t xml:space="preserve">nell’adempimento di una missione che ha il suo cuore nella chiamata alla santità </w:t>
      </w:r>
      <w:r w:rsidR="00005A44">
        <w:t xml:space="preserve">(cap. V) </w:t>
      </w:r>
      <w:r>
        <w:t>e nella destinazione escatologica</w:t>
      </w:r>
      <w:r w:rsidR="00005A44">
        <w:t xml:space="preserve"> (cap. VII) </w:t>
      </w:r>
      <w:r w:rsidR="00620153">
        <w:t>;</w:t>
      </w:r>
      <w:r>
        <w:t xml:space="preserve"> </w:t>
      </w:r>
      <w:r w:rsidR="00620153">
        <w:t>c</w:t>
      </w:r>
      <w:r w:rsidR="003C7C0B">
        <w:t xml:space="preserve">osì comprendendosi e vivendo, essa guarda a Maria </w:t>
      </w:r>
      <w:r w:rsidR="00005A44">
        <w:t xml:space="preserve">(cap. VIII) </w:t>
      </w:r>
      <w:r w:rsidR="003C7C0B">
        <w:t>come alla sintesi personale singolare della sua identità e del suo compito.</w:t>
      </w:r>
      <w:r w:rsidR="00F97CDE">
        <w:t xml:space="preserve"> </w:t>
      </w:r>
    </w:p>
    <w:p w:rsidR="00EA6484" w:rsidRDefault="00F97CDE" w:rsidP="00F97CDE">
      <w:pPr>
        <w:ind w:firstLine="708"/>
      </w:pPr>
      <w:r>
        <w:t>Lo sviluppo di tale autocomprensione ecclesiologica fa perno sulla categoria di mistero, termine di rara densità biblico-teologica che evoca la radice di tutto nella vita e nell’iniziativa di Dio stesso. Essa ultimamente consiste nella volontà di port</w:t>
      </w:r>
      <w:r>
        <w:t>a</w:t>
      </w:r>
      <w:r w:rsidR="002D2FA8">
        <w:t>re all’essere dal nulla l</w:t>
      </w:r>
      <w:r>
        <w:t xml:space="preserve">a realtà </w:t>
      </w:r>
      <w:r w:rsidR="003E7D4E">
        <w:t>creata d</w:t>
      </w:r>
      <w:r>
        <w:t xml:space="preserve">a Dio. La Chiesa non viene compresa se non </w:t>
      </w:r>
      <w:r w:rsidR="002D2FA8">
        <w:t>si trova</w:t>
      </w:r>
      <w:r>
        <w:t xml:space="preserve"> connessa con questo fondamento nella creazione e nel suo rapporto con e</w:t>
      </w:r>
      <w:r>
        <w:t>s</w:t>
      </w:r>
      <w:r>
        <w:t xml:space="preserve">sa. La volontà divina di creare l’uomo quale vertice della creazione si spiega con l’intenzione di renderlo partecipe della sua stessa vita; </w:t>
      </w:r>
      <w:r w:rsidR="003E7D4E">
        <w:t>ora</w:t>
      </w:r>
      <w:r>
        <w:t xml:space="preserve"> una tale partecipazione si compie </w:t>
      </w:r>
      <w:r w:rsidR="002D2FA8">
        <w:t>attraverso il</w:t>
      </w:r>
      <w:r>
        <w:t xml:space="preserve"> luogo storico della Chiesa. Questa è </w:t>
      </w:r>
      <w:r w:rsidR="002D2FA8">
        <w:t xml:space="preserve">stata </w:t>
      </w:r>
      <w:r w:rsidR="003E7D4E">
        <w:t xml:space="preserve">pensata e </w:t>
      </w:r>
      <w:r>
        <w:t xml:space="preserve">voluta nell’atto stesso di </w:t>
      </w:r>
      <w:r w:rsidR="00620153">
        <w:t xml:space="preserve">creare </w:t>
      </w:r>
      <w:r>
        <w:t xml:space="preserve">l’uomo </w:t>
      </w:r>
      <w:r w:rsidR="00620153">
        <w:t>per destinarlo</w:t>
      </w:r>
      <w:r>
        <w:t xml:space="preserve"> alla divinizzazione. </w:t>
      </w:r>
    </w:p>
    <w:p w:rsidR="00620153" w:rsidRDefault="00F97CDE" w:rsidP="00F97CDE">
      <w:pPr>
        <w:ind w:firstLine="708"/>
      </w:pPr>
      <w:r>
        <w:t xml:space="preserve">Tale disegno rimane </w:t>
      </w:r>
      <w:r w:rsidR="002B1354">
        <w:t xml:space="preserve">inadeguatamente inteso </w:t>
      </w:r>
      <w:r>
        <w:t>se non viene colto simult</w:t>
      </w:r>
      <w:r>
        <w:t>a</w:t>
      </w:r>
      <w:r>
        <w:t>neamente nella sua configurazione trinitaria. Le categorie ecclesiologiche fond</w:t>
      </w:r>
      <w:r>
        <w:t>a</w:t>
      </w:r>
      <w:r>
        <w:t>mentali di popolo</w:t>
      </w:r>
      <w:r w:rsidR="00005A44">
        <w:t xml:space="preserve"> di Dio</w:t>
      </w:r>
      <w:r>
        <w:t xml:space="preserve">, corpo </w:t>
      </w:r>
      <w:r w:rsidR="00005A44">
        <w:t xml:space="preserve">di Cristo </w:t>
      </w:r>
      <w:r>
        <w:t xml:space="preserve">e tempio </w:t>
      </w:r>
      <w:r w:rsidR="00005A44">
        <w:t xml:space="preserve">dello Spirito </w:t>
      </w:r>
      <w:r>
        <w:t xml:space="preserve">stanno in reciproca e circolare relazione perché l’iniziativa divina vede all’opera </w:t>
      </w:r>
      <w:r w:rsidR="00005A44">
        <w:t>unitariamente e disti</w:t>
      </w:r>
      <w:r w:rsidR="00005A44">
        <w:t>n</w:t>
      </w:r>
      <w:r w:rsidR="00005A44">
        <w:t>tamente le persone divine</w:t>
      </w:r>
      <w:r w:rsidR="002B1354">
        <w:t>. Essere Chiesa e stare nella Chiesa equivale a entrare e intrattenere una relazione vitale con le persone di Dio, singolarmente e insieme, a</w:t>
      </w:r>
      <w:r w:rsidR="002B1354">
        <w:t>t</w:t>
      </w:r>
      <w:r w:rsidR="002D2FA8">
        <w:t>traverso le forme di</w:t>
      </w:r>
      <w:r w:rsidR="002B1354">
        <w:t xml:space="preserve"> cui si alimenta l’identità e l’appartenenza ecclesiale, e cioè la parola, il sacramento, la comunione</w:t>
      </w:r>
      <w:r w:rsidR="003E7D4E">
        <w:t xml:space="preserve"> </w:t>
      </w:r>
      <w:r w:rsidR="003E7D4E">
        <w:rPr>
          <w:rStyle w:val="Rimandonotaapidipagina"/>
        </w:rPr>
        <w:footnoteReference w:id="4"/>
      </w:r>
      <w:r w:rsidR="002B1354">
        <w:t xml:space="preserve">. </w:t>
      </w:r>
    </w:p>
    <w:p w:rsidR="00F97CDE" w:rsidRDefault="005A4445" w:rsidP="00F97CDE">
      <w:pPr>
        <w:ind w:firstLine="708"/>
      </w:pPr>
      <w:r>
        <w:t>A proposito di quest’ultimo riferimento, non può essere sottaciuto che il S</w:t>
      </w:r>
      <w:r>
        <w:t>i</w:t>
      </w:r>
      <w:r>
        <w:t xml:space="preserve">nodo dei Vescovi del 1985, dedicato al Vaticano II, ha </w:t>
      </w:r>
      <w:r w:rsidR="00D41A01">
        <w:t xml:space="preserve">centrato </w:t>
      </w:r>
      <w:r>
        <w:t xml:space="preserve">la comprensione </w:t>
      </w:r>
      <w:r>
        <w:lastRenderedPageBreak/>
        <w:t>della sua ecclesiologia attorno alla categoria di comunione</w:t>
      </w:r>
      <w:r w:rsidR="004466B0">
        <w:t xml:space="preserve"> </w:t>
      </w:r>
      <w:r w:rsidR="006F06E7">
        <w:rPr>
          <w:rStyle w:val="Rimandonotaapidipagina"/>
        </w:rPr>
        <w:footnoteReference w:id="5"/>
      </w:r>
      <w:r>
        <w:t>. Il dato curioso è ra</w:t>
      </w:r>
      <w:r>
        <w:t>p</w:t>
      </w:r>
      <w:r>
        <w:t xml:space="preserve">presentato dalla </w:t>
      </w:r>
      <w:r w:rsidR="002D2FA8">
        <w:t xml:space="preserve">ricorrenza relativamente </w:t>
      </w:r>
      <w:r>
        <w:t xml:space="preserve">irrisoria del termine nei testi conciliari e dalla sua marginalità </w:t>
      </w:r>
      <w:r w:rsidR="00E56C4E">
        <w:t>come concetto esplicito; è importante tuttavia cogliere, pr</w:t>
      </w:r>
      <w:r w:rsidR="00E56C4E">
        <w:t>o</w:t>
      </w:r>
      <w:r w:rsidR="00E56C4E">
        <w:t xml:space="preserve">prio in </w:t>
      </w:r>
      <w:r w:rsidR="002D2FA8">
        <w:t>quella</w:t>
      </w:r>
      <w:r w:rsidR="00E56C4E">
        <w:t xml:space="preserve"> operazione ermeneutica, la possibilità di ripensare il modello prop</w:t>
      </w:r>
      <w:r w:rsidR="00E56C4E">
        <w:t>o</w:t>
      </w:r>
      <w:r w:rsidR="00E56C4E">
        <w:t>sto dal testo conciliare senza legarsi a un letteralismo rigido ma anche senza mai tradirne la lettera e il senso. Anche in questo caso si deve concludere che il criterio decisivo è la compatibilità delle cate</w:t>
      </w:r>
      <w:r w:rsidR="00620153">
        <w:t>gorie ecclesiologiche conciliari</w:t>
      </w:r>
      <w:r w:rsidR="00E56C4E">
        <w:t xml:space="preserve"> </w:t>
      </w:r>
      <w:r w:rsidR="002D2FA8">
        <w:t>valutate e rec</w:t>
      </w:r>
      <w:r w:rsidR="002D2FA8">
        <w:t>e</w:t>
      </w:r>
      <w:r w:rsidR="002D2FA8">
        <w:t xml:space="preserve">pite </w:t>
      </w:r>
      <w:r w:rsidR="00E56C4E">
        <w:t>nel loro insieme. Semmai, proprio questo esempio permette di ricentrare il f</w:t>
      </w:r>
      <w:r w:rsidR="00E56C4E">
        <w:t>o</w:t>
      </w:r>
      <w:r w:rsidR="00E56C4E">
        <w:t xml:space="preserve">cus interpretativo attorno alla categoria di partenza della </w:t>
      </w:r>
      <w:r w:rsidR="00E56C4E">
        <w:rPr>
          <w:i/>
        </w:rPr>
        <w:t>Lumen Gentium</w:t>
      </w:r>
      <w:r w:rsidR="00E56C4E">
        <w:t>, e cioè m</w:t>
      </w:r>
      <w:r w:rsidR="00E56C4E">
        <w:t>i</w:t>
      </w:r>
      <w:r w:rsidR="00E56C4E">
        <w:t xml:space="preserve">stero, che dice il dimorare della presenza di Dio </w:t>
      </w:r>
      <w:r w:rsidR="002D2FA8">
        <w:t>lungo la</w:t>
      </w:r>
      <w:r w:rsidR="00E56C4E">
        <w:t xml:space="preserve"> storia nel luogo della c</w:t>
      </w:r>
      <w:r w:rsidR="00E56C4E">
        <w:t>o</w:t>
      </w:r>
      <w:r w:rsidR="00E56C4E">
        <w:t>munità dei credenti, battezzati e redenti; la comunione appare in tale luce come una variazione espressiva dell’essere e della vita di Dio che la sua iniziativa storico-salvifica immette nel tessut</w:t>
      </w:r>
      <w:r w:rsidR="00710086">
        <w:t xml:space="preserve">o delle relazioni e della storia </w:t>
      </w:r>
      <w:r w:rsidR="00E56C4E">
        <w:t>de</w:t>
      </w:r>
      <w:r w:rsidR="00710086">
        <w:t>g</w:t>
      </w:r>
      <w:r w:rsidR="00E56C4E">
        <w:t>l</w:t>
      </w:r>
      <w:r w:rsidR="00710086">
        <w:t>i uomini</w:t>
      </w:r>
      <w:r w:rsidR="00E56C4E">
        <w:t xml:space="preserve"> </w:t>
      </w:r>
      <w:r w:rsidR="00620153">
        <w:t xml:space="preserve">attraverso </w:t>
      </w:r>
      <w:r w:rsidR="002D2FA8">
        <w:t xml:space="preserve">quel singolare </w:t>
      </w:r>
      <w:r w:rsidR="00E56C4E">
        <w:t xml:space="preserve">luogo sociale che è la Chiesa. </w:t>
      </w:r>
    </w:p>
    <w:p w:rsidR="003C62FC" w:rsidRPr="00E56C4E" w:rsidRDefault="003C62FC" w:rsidP="00F97CDE">
      <w:pPr>
        <w:ind w:firstLine="708"/>
      </w:pPr>
      <w:r>
        <w:t>La questione da cui siamo partiti ci chiede a questo punto di avviare un co</w:t>
      </w:r>
      <w:r>
        <w:t>n</w:t>
      </w:r>
      <w:r>
        <w:t xml:space="preserve">fronto serrato e una riflessione adeguata a </w:t>
      </w:r>
      <w:r w:rsidR="002D2FA8">
        <w:t>com</w:t>
      </w:r>
      <w:r>
        <w:t>misurare il nostro modello di Chiesa</w:t>
      </w:r>
      <w:r w:rsidR="00EC456F">
        <w:t xml:space="preserve"> con quello che essa stessa ci presenta nella massima istanza della sua manifestazi</w:t>
      </w:r>
      <w:r w:rsidR="00EC456F">
        <w:t>o</w:t>
      </w:r>
      <w:r w:rsidR="00EC456F">
        <w:t>ne storico-teologica attraverso l’evento conciliare</w:t>
      </w:r>
      <w:r w:rsidR="00620153">
        <w:t xml:space="preserve">, e in particolare della costituzione dogmatica sulla Chiesa </w:t>
      </w:r>
      <w:r w:rsidR="00620153">
        <w:rPr>
          <w:i/>
        </w:rPr>
        <w:t>Lumen Gentium</w:t>
      </w:r>
      <w:r w:rsidR="00620153">
        <w:t>, che occupa in esso un posto centrale e strutturante</w:t>
      </w:r>
      <w:r w:rsidR="00EC456F">
        <w:t xml:space="preserve">. </w:t>
      </w:r>
    </w:p>
    <w:sectPr w:rsidR="003C62FC" w:rsidRPr="00E56C4E" w:rsidSect="00D41A01">
      <w:footerReference w:type="default" r:id="rId8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97" w:rsidRDefault="00BB3097" w:rsidP="00D6443A">
      <w:pPr>
        <w:spacing w:line="240" w:lineRule="auto"/>
      </w:pPr>
      <w:r>
        <w:separator/>
      </w:r>
    </w:p>
  </w:endnote>
  <w:endnote w:type="continuationSeparator" w:id="0">
    <w:p w:rsidR="00BB3097" w:rsidRDefault="00BB3097" w:rsidP="00D6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957700"/>
      <w:docPartObj>
        <w:docPartGallery w:val="Page Numbers (Bottom of Page)"/>
        <w:docPartUnique/>
      </w:docPartObj>
    </w:sdtPr>
    <w:sdtEndPr/>
    <w:sdtContent>
      <w:p w:rsidR="00D41A01" w:rsidRDefault="00D41A0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1A">
          <w:rPr>
            <w:noProof/>
          </w:rPr>
          <w:t>3</w:t>
        </w:r>
        <w:r>
          <w:fldChar w:fldCharType="end"/>
        </w:r>
      </w:p>
    </w:sdtContent>
  </w:sdt>
  <w:p w:rsidR="00D41A01" w:rsidRDefault="00D41A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97" w:rsidRDefault="00BB3097" w:rsidP="00D6443A">
      <w:pPr>
        <w:spacing w:line="240" w:lineRule="auto"/>
      </w:pPr>
      <w:r>
        <w:separator/>
      </w:r>
    </w:p>
  </w:footnote>
  <w:footnote w:type="continuationSeparator" w:id="0">
    <w:p w:rsidR="00BB3097" w:rsidRDefault="00BB3097" w:rsidP="00D6443A">
      <w:pPr>
        <w:spacing w:line="240" w:lineRule="auto"/>
      </w:pPr>
      <w:r>
        <w:continuationSeparator/>
      </w:r>
    </w:p>
  </w:footnote>
  <w:footnote w:id="1">
    <w:p w:rsidR="00DC4227" w:rsidRDefault="00DC4227" w:rsidP="00424E2A">
      <w:pPr>
        <w:pStyle w:val="Testonotaapidipagina"/>
        <w:ind w:firstLine="567"/>
      </w:pPr>
      <w:r>
        <w:rPr>
          <w:rStyle w:val="Rimandonotaapidipagina"/>
        </w:rPr>
        <w:footnoteRef/>
      </w:r>
      <w:r>
        <w:t xml:space="preserve"> Paolo VI, </w:t>
      </w:r>
      <w:r>
        <w:rPr>
          <w:i/>
        </w:rPr>
        <w:t>Allocuzione all’ultima sessione pubblica del Concilio ecumenico Vaticano II</w:t>
      </w:r>
      <w:r>
        <w:t>, 7 dicembre 1965.</w:t>
      </w:r>
    </w:p>
  </w:footnote>
  <w:footnote w:id="2">
    <w:p w:rsidR="00CC442F" w:rsidRPr="00F21CE4" w:rsidRDefault="00CC442F" w:rsidP="00CC442F">
      <w:pPr>
        <w:pStyle w:val="Testonotaapidipagina"/>
      </w:pPr>
      <w:r w:rsidRPr="00F21CE4">
        <w:rPr>
          <w:rStyle w:val="Rimandonotaapidipagina"/>
        </w:rPr>
        <w:footnoteRef/>
      </w:r>
      <w:r w:rsidRPr="00F21CE4">
        <w:t xml:space="preserve"> Benedetto XVI, </w:t>
      </w:r>
      <w:r w:rsidRPr="00F21CE4">
        <w:rPr>
          <w:i/>
        </w:rPr>
        <w:t>Discorso in occasione degli auguri natalizi</w:t>
      </w:r>
      <w:r>
        <w:rPr>
          <w:i/>
        </w:rPr>
        <w:t xml:space="preserve"> de</w:t>
      </w:r>
      <w:r w:rsidRPr="00F21CE4">
        <w:rPr>
          <w:i/>
        </w:rPr>
        <w:t xml:space="preserve">lla </w:t>
      </w:r>
      <w:r>
        <w:rPr>
          <w:i/>
        </w:rPr>
        <w:t>C</w:t>
      </w:r>
      <w:r w:rsidRPr="00F21CE4">
        <w:rPr>
          <w:i/>
        </w:rPr>
        <w:t>uria romana</w:t>
      </w:r>
      <w:r w:rsidRPr="00F21CE4">
        <w:t>, 22 dicembre 2005.</w:t>
      </w:r>
    </w:p>
  </w:footnote>
  <w:footnote w:id="3">
    <w:p w:rsidR="000C5195" w:rsidRDefault="000C5195">
      <w:pPr>
        <w:pStyle w:val="Testonotaapidipagina"/>
      </w:pPr>
      <w:r>
        <w:rPr>
          <w:rStyle w:val="Rimandonotaapidipagina"/>
        </w:rPr>
        <w:footnoteRef/>
      </w:r>
      <w:r>
        <w:t xml:space="preserve"> Cf. G. Routhier, </w:t>
      </w:r>
      <w:r>
        <w:rPr>
          <w:i/>
        </w:rPr>
        <w:t>Il Concilio Vaticano II. Recezione ed ermeneutica</w:t>
      </w:r>
      <w:r>
        <w:t>, V&amp;P, Milano 2007, 105-114</w:t>
      </w:r>
      <w:r w:rsidR="00FA07D4">
        <w:t xml:space="preserve">; A.T.I., </w:t>
      </w:r>
      <w:r w:rsidR="00FA07D4">
        <w:rPr>
          <w:i/>
        </w:rPr>
        <w:t>La Chiesa e il Vaticano II. Problemi di ermeneutica e recezione conciliare</w:t>
      </w:r>
      <w:r w:rsidR="00FA07D4">
        <w:t>, Glossa, Milano 2005</w:t>
      </w:r>
      <w:r>
        <w:t xml:space="preserve">. </w:t>
      </w:r>
    </w:p>
  </w:footnote>
  <w:footnote w:id="4">
    <w:p w:rsidR="003E7D4E" w:rsidRPr="00B925E3" w:rsidRDefault="003E7D4E" w:rsidP="00E060C1">
      <w:pPr>
        <w:pStyle w:val="NormaleWeb"/>
        <w:spacing w:before="0" w:beforeAutospacing="0" w:after="0" w:afterAutospacing="0"/>
        <w:ind w:firstLine="709"/>
        <w:jc w:val="both"/>
        <w:rPr>
          <w:rFonts w:ascii="Calisto MT" w:hAnsi="Calisto MT"/>
          <w:color w:val="auto"/>
          <w:sz w:val="20"/>
          <w:szCs w:val="20"/>
        </w:rPr>
      </w:pPr>
      <w:r w:rsidRPr="00E060C1">
        <w:rPr>
          <w:rStyle w:val="Rimandonotaapidipagina"/>
          <w:rFonts w:ascii="Calisto MT" w:hAnsi="Calisto MT"/>
          <w:sz w:val="20"/>
          <w:szCs w:val="20"/>
        </w:rPr>
        <w:footnoteRef/>
      </w:r>
      <w:r w:rsidRPr="00E060C1">
        <w:rPr>
          <w:rFonts w:ascii="Calisto MT" w:hAnsi="Calisto MT"/>
          <w:sz w:val="20"/>
          <w:szCs w:val="20"/>
        </w:rPr>
        <w:t xml:space="preserve"> </w:t>
      </w:r>
      <w:r w:rsidR="00B925E3" w:rsidRPr="006863AC">
        <w:rPr>
          <w:rFonts w:ascii="Calisto MT" w:hAnsi="Calisto MT" w:cstheme="minorHAnsi"/>
          <w:color w:val="auto"/>
          <w:sz w:val="20"/>
          <w:szCs w:val="20"/>
        </w:rPr>
        <w:t xml:space="preserve">J. Ratzinger, </w:t>
      </w:r>
      <w:r w:rsidR="00B925E3" w:rsidRPr="006863AC">
        <w:rPr>
          <w:rFonts w:ascii="Calisto MT" w:hAnsi="Calisto MT" w:cs="Times"/>
          <w:bCs/>
          <w:i/>
          <w:iCs/>
          <w:color w:val="auto"/>
          <w:sz w:val="20"/>
          <w:szCs w:val="20"/>
        </w:rPr>
        <w:t>Intervento sull’ecclesiologia della costituzione “Lumen gentium” al convegno intern</w:t>
      </w:r>
      <w:r w:rsidR="00B925E3" w:rsidRPr="006863AC">
        <w:rPr>
          <w:rFonts w:ascii="Calisto MT" w:hAnsi="Calisto MT" w:cs="Times"/>
          <w:bCs/>
          <w:i/>
          <w:iCs/>
          <w:color w:val="auto"/>
          <w:sz w:val="20"/>
          <w:szCs w:val="20"/>
        </w:rPr>
        <w:t>a</w:t>
      </w:r>
      <w:r w:rsidR="00094F07">
        <w:rPr>
          <w:rFonts w:ascii="Calisto MT" w:hAnsi="Calisto MT" w:cs="Times"/>
          <w:bCs/>
          <w:i/>
          <w:iCs/>
          <w:color w:val="auto"/>
          <w:sz w:val="20"/>
          <w:szCs w:val="20"/>
        </w:rPr>
        <w:t>zionale sull’</w:t>
      </w:r>
      <w:r w:rsidR="00B925E3" w:rsidRPr="006863AC">
        <w:rPr>
          <w:rFonts w:ascii="Calisto MT" w:hAnsi="Calisto MT" w:cs="Times"/>
          <w:bCs/>
          <w:i/>
          <w:iCs/>
          <w:color w:val="auto"/>
          <w:sz w:val="20"/>
          <w:szCs w:val="20"/>
        </w:rPr>
        <w:t>attuazione del Concilio ecumenico Vaticano II promosso dal Comitato del grande giubileo dell’anno</w:t>
      </w:r>
      <w:r w:rsidR="00B925E3" w:rsidRPr="006863AC">
        <w:rPr>
          <w:rFonts w:ascii="Calisto MT" w:hAnsi="Calisto MT" w:cs="Times"/>
          <w:b/>
          <w:bCs/>
          <w:i/>
          <w:iCs/>
          <w:color w:val="auto"/>
          <w:sz w:val="20"/>
          <w:szCs w:val="20"/>
        </w:rPr>
        <w:t xml:space="preserve"> </w:t>
      </w:r>
      <w:r w:rsidR="00B925E3" w:rsidRPr="006863AC">
        <w:rPr>
          <w:rFonts w:ascii="Calisto MT" w:hAnsi="Calisto MT" w:cs="Times"/>
          <w:bCs/>
          <w:i/>
          <w:iCs/>
          <w:color w:val="auto"/>
          <w:sz w:val="20"/>
          <w:szCs w:val="20"/>
        </w:rPr>
        <w:t>2000</w:t>
      </w:r>
      <w:r w:rsidR="00B925E3" w:rsidRPr="006863AC">
        <w:rPr>
          <w:rFonts w:ascii="Calisto MT" w:hAnsi="Calisto MT" w:cs="Times"/>
          <w:bCs/>
          <w:iCs/>
          <w:color w:val="auto"/>
          <w:sz w:val="20"/>
          <w:szCs w:val="20"/>
        </w:rPr>
        <w:t xml:space="preserve">, </w:t>
      </w:r>
      <w:r w:rsidR="00B925E3" w:rsidRPr="006863AC">
        <w:rPr>
          <w:rFonts w:ascii="Calisto MT" w:hAnsi="Calisto MT"/>
          <w:iCs/>
          <w:color w:val="auto"/>
          <w:sz w:val="20"/>
          <w:szCs w:val="20"/>
        </w:rPr>
        <w:t xml:space="preserve">27 Febbraio 2000, scriveva circa </w:t>
      </w:r>
      <w:r w:rsidR="00B925E3" w:rsidRPr="006863AC">
        <w:rPr>
          <w:rFonts w:ascii="Calisto MT" w:hAnsi="Calisto MT" w:cstheme="minorHAnsi"/>
          <w:color w:val="auto"/>
          <w:sz w:val="20"/>
          <w:szCs w:val="20"/>
        </w:rPr>
        <w:t>«</w:t>
      </w:r>
      <w:r w:rsidR="00B925E3" w:rsidRPr="006863AC">
        <w:rPr>
          <w:rFonts w:ascii="Calisto MT" w:hAnsi="Calisto MT"/>
          <w:color w:val="auto"/>
          <w:sz w:val="20"/>
          <w:szCs w:val="20"/>
        </w:rPr>
        <w:t>la struttura trinitaria come fondamento dell’ultima determ</w:t>
      </w:r>
      <w:r w:rsidR="00B925E3" w:rsidRPr="006863AC">
        <w:rPr>
          <w:rFonts w:ascii="Calisto MT" w:hAnsi="Calisto MT"/>
          <w:color w:val="auto"/>
          <w:sz w:val="20"/>
          <w:szCs w:val="20"/>
        </w:rPr>
        <w:t>i</w:t>
      </w:r>
      <w:r w:rsidR="00B925E3" w:rsidRPr="006863AC">
        <w:rPr>
          <w:rFonts w:ascii="Calisto MT" w:hAnsi="Calisto MT"/>
          <w:color w:val="auto"/>
          <w:sz w:val="20"/>
          <w:szCs w:val="20"/>
        </w:rPr>
        <w:t>nazione della Chiesa</w:t>
      </w:r>
      <w:r w:rsidR="00B925E3" w:rsidRPr="006863AC">
        <w:rPr>
          <w:rFonts w:ascii="Calisto MT" w:hAnsi="Calisto MT" w:cstheme="minorHAnsi"/>
          <w:color w:val="auto"/>
          <w:sz w:val="20"/>
          <w:szCs w:val="20"/>
        </w:rPr>
        <w:t>»; e aggiungeva: «</w:t>
      </w:r>
      <w:r w:rsidR="00B925E3">
        <w:rPr>
          <w:rFonts w:ascii="Calisto MT" w:hAnsi="Calisto MT" w:cs="Times"/>
          <w:color w:val="auto"/>
          <w:sz w:val="20"/>
          <w:szCs w:val="20"/>
        </w:rPr>
        <w:t>L’</w:t>
      </w:r>
      <w:r w:rsidR="00B925E3" w:rsidRPr="006863AC">
        <w:rPr>
          <w:rFonts w:ascii="Calisto MT" w:hAnsi="Calisto MT" w:cs="Times"/>
          <w:color w:val="auto"/>
          <w:sz w:val="20"/>
          <w:szCs w:val="20"/>
        </w:rPr>
        <w:t>ecclesiologia si manifesta come dipendente dalla cristologia, ad essa legata. Poiché però nessuno può parlare correttamente di Cristo, del Figlio, senza allo stesso tempo parlare del Padre e poiché non si può parlare correttamente di Padre e Figlio senza mettersi in ascolto dello Spirito Santo, la visione cristologica della Chiesa si allarga necessariamente in una e</w:t>
      </w:r>
      <w:r w:rsidR="00B925E3" w:rsidRPr="006863AC">
        <w:rPr>
          <w:rFonts w:ascii="Calisto MT" w:hAnsi="Calisto MT" w:cs="Times"/>
          <w:color w:val="auto"/>
          <w:sz w:val="20"/>
          <w:szCs w:val="20"/>
        </w:rPr>
        <w:t>c</w:t>
      </w:r>
      <w:r w:rsidR="00B925E3" w:rsidRPr="006863AC">
        <w:rPr>
          <w:rFonts w:ascii="Calisto MT" w:hAnsi="Calisto MT" w:cs="Times"/>
          <w:color w:val="auto"/>
          <w:sz w:val="20"/>
          <w:szCs w:val="20"/>
        </w:rPr>
        <w:t>clesiologia trinitaria (</w:t>
      </w:r>
      <w:r w:rsidR="00B925E3" w:rsidRPr="006863AC">
        <w:rPr>
          <w:rFonts w:ascii="Calisto MT" w:hAnsi="Calisto MT" w:cs="Times"/>
          <w:i/>
          <w:iCs/>
          <w:color w:val="auto"/>
          <w:sz w:val="20"/>
          <w:szCs w:val="20"/>
        </w:rPr>
        <w:t>LG</w:t>
      </w:r>
      <w:r w:rsidR="00B925E3" w:rsidRPr="006863AC">
        <w:rPr>
          <w:rFonts w:ascii="Calisto MT" w:hAnsi="Calisto MT" w:cs="Times"/>
          <w:color w:val="auto"/>
          <w:sz w:val="20"/>
          <w:szCs w:val="20"/>
        </w:rPr>
        <w:t xml:space="preserve"> n. 2-4). Il discorso sulla Chiesa è un discorso su Dio, e solo così è corre</w:t>
      </w:r>
      <w:r w:rsidR="00B925E3" w:rsidRPr="006863AC">
        <w:rPr>
          <w:rFonts w:ascii="Calisto MT" w:hAnsi="Calisto MT" w:cs="Times"/>
          <w:color w:val="auto"/>
          <w:sz w:val="20"/>
          <w:szCs w:val="20"/>
        </w:rPr>
        <w:t>t</w:t>
      </w:r>
      <w:r w:rsidR="00B925E3" w:rsidRPr="006863AC">
        <w:rPr>
          <w:rFonts w:ascii="Calisto MT" w:hAnsi="Calisto MT" w:cs="Times"/>
          <w:color w:val="auto"/>
          <w:sz w:val="20"/>
          <w:szCs w:val="20"/>
        </w:rPr>
        <w:t>to</w:t>
      </w:r>
      <w:r w:rsidR="00B925E3" w:rsidRPr="006863AC">
        <w:rPr>
          <w:rFonts w:ascii="Calisto MT" w:hAnsi="Calisto MT" w:cstheme="minorHAnsi"/>
          <w:color w:val="auto"/>
          <w:sz w:val="20"/>
          <w:szCs w:val="20"/>
        </w:rPr>
        <w:t>»</w:t>
      </w:r>
      <w:r w:rsidR="00B925E3" w:rsidRPr="006863AC">
        <w:rPr>
          <w:rFonts w:ascii="Calisto MT" w:hAnsi="Calisto MT"/>
          <w:iCs/>
          <w:color w:val="auto"/>
          <w:sz w:val="20"/>
          <w:szCs w:val="20"/>
        </w:rPr>
        <w:t>(http://www.vatican.va/roman_curia/congregations/cfaith/documents/rc_con_cfaith_doc_20000227_ratzinger-lumen-gentium_it.html).</w:t>
      </w:r>
    </w:p>
  </w:footnote>
  <w:footnote w:id="5">
    <w:p w:rsidR="006F06E7" w:rsidRDefault="006F06E7">
      <w:pPr>
        <w:pStyle w:val="Testonotaapidipagina"/>
      </w:pPr>
      <w:r>
        <w:rPr>
          <w:rStyle w:val="Rimandonotaapidipagina"/>
        </w:rPr>
        <w:footnoteRef/>
      </w:r>
      <w:r>
        <w:t xml:space="preserve"> «L’ecclesiologia di comunione è l’idea centrale e fondamentale dei documenti del concilio» (Synodus Episcoporum, Relatio finalis </w:t>
      </w:r>
      <w:r>
        <w:rPr>
          <w:i/>
        </w:rPr>
        <w:t>Ecclesia sub verbo Dei mysteria celebrans pro salute mundi</w:t>
      </w:r>
      <w:r>
        <w:t>, 7 d</w:t>
      </w:r>
      <w:r>
        <w:t>i</w:t>
      </w:r>
      <w:r>
        <w:t xml:space="preserve">cembris 1985, in </w:t>
      </w:r>
      <w:r w:rsidRPr="006F06E7">
        <w:rPr>
          <w:i/>
        </w:rPr>
        <w:t>Enchiridion Vaticanum</w:t>
      </w:r>
      <w:r>
        <w:t xml:space="preserve"> 9, n.</w:t>
      </w:r>
      <w:r w:rsidR="00D41A01">
        <w:t xml:space="preserve"> </w:t>
      </w:r>
      <w:r>
        <w:t xml:space="preserve">1800).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9"/>
  <w:autoHyphenation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EF"/>
    <w:rsid w:val="00005A44"/>
    <w:rsid w:val="000173A7"/>
    <w:rsid w:val="00021034"/>
    <w:rsid w:val="00030A83"/>
    <w:rsid w:val="00044DF2"/>
    <w:rsid w:val="000474A7"/>
    <w:rsid w:val="0007514A"/>
    <w:rsid w:val="00094F07"/>
    <w:rsid w:val="000A4B04"/>
    <w:rsid w:val="000A6B45"/>
    <w:rsid w:val="000B20EB"/>
    <w:rsid w:val="000C5195"/>
    <w:rsid w:val="00104DA5"/>
    <w:rsid w:val="00131173"/>
    <w:rsid w:val="001A130E"/>
    <w:rsid w:val="001B0DD8"/>
    <w:rsid w:val="001E152E"/>
    <w:rsid w:val="00220B97"/>
    <w:rsid w:val="00231975"/>
    <w:rsid w:val="00281A7F"/>
    <w:rsid w:val="0029008F"/>
    <w:rsid w:val="002B1354"/>
    <w:rsid w:val="002B7354"/>
    <w:rsid w:val="002D2FA8"/>
    <w:rsid w:val="002F200E"/>
    <w:rsid w:val="002F2DDB"/>
    <w:rsid w:val="002F64F5"/>
    <w:rsid w:val="00325345"/>
    <w:rsid w:val="00350BEF"/>
    <w:rsid w:val="003C62FC"/>
    <w:rsid w:val="003C7C0B"/>
    <w:rsid w:val="003E7D4E"/>
    <w:rsid w:val="004035DF"/>
    <w:rsid w:val="00424E2A"/>
    <w:rsid w:val="004466B0"/>
    <w:rsid w:val="00475692"/>
    <w:rsid w:val="004A7D11"/>
    <w:rsid w:val="00526C58"/>
    <w:rsid w:val="0054225D"/>
    <w:rsid w:val="00545FF8"/>
    <w:rsid w:val="00553610"/>
    <w:rsid w:val="0056078B"/>
    <w:rsid w:val="005A4445"/>
    <w:rsid w:val="005B39BB"/>
    <w:rsid w:val="005B5D02"/>
    <w:rsid w:val="00605C8B"/>
    <w:rsid w:val="00605D5C"/>
    <w:rsid w:val="00610446"/>
    <w:rsid w:val="00620153"/>
    <w:rsid w:val="006468E4"/>
    <w:rsid w:val="0065454D"/>
    <w:rsid w:val="006B6597"/>
    <w:rsid w:val="006C1D9D"/>
    <w:rsid w:val="006D7732"/>
    <w:rsid w:val="006F06E7"/>
    <w:rsid w:val="00710086"/>
    <w:rsid w:val="00711847"/>
    <w:rsid w:val="00726C4E"/>
    <w:rsid w:val="0073537F"/>
    <w:rsid w:val="00797113"/>
    <w:rsid w:val="007E26A4"/>
    <w:rsid w:val="007F131B"/>
    <w:rsid w:val="00823C2E"/>
    <w:rsid w:val="00831A1A"/>
    <w:rsid w:val="0083374F"/>
    <w:rsid w:val="0089628C"/>
    <w:rsid w:val="00897934"/>
    <w:rsid w:val="008A5414"/>
    <w:rsid w:val="008D26A7"/>
    <w:rsid w:val="00917C78"/>
    <w:rsid w:val="00926316"/>
    <w:rsid w:val="00953897"/>
    <w:rsid w:val="009B64BF"/>
    <w:rsid w:val="009C7F2C"/>
    <w:rsid w:val="00AB60FB"/>
    <w:rsid w:val="00B276D4"/>
    <w:rsid w:val="00B54595"/>
    <w:rsid w:val="00B55CFA"/>
    <w:rsid w:val="00B925E3"/>
    <w:rsid w:val="00BB3097"/>
    <w:rsid w:val="00BB3420"/>
    <w:rsid w:val="00BD37BF"/>
    <w:rsid w:val="00BF5956"/>
    <w:rsid w:val="00C2274F"/>
    <w:rsid w:val="00C57DDA"/>
    <w:rsid w:val="00CB11FE"/>
    <w:rsid w:val="00CC442F"/>
    <w:rsid w:val="00CE42E9"/>
    <w:rsid w:val="00CF36E1"/>
    <w:rsid w:val="00D344D2"/>
    <w:rsid w:val="00D41A01"/>
    <w:rsid w:val="00D54303"/>
    <w:rsid w:val="00D6193D"/>
    <w:rsid w:val="00D6443A"/>
    <w:rsid w:val="00DA47E5"/>
    <w:rsid w:val="00DC4227"/>
    <w:rsid w:val="00E00E48"/>
    <w:rsid w:val="00E060C1"/>
    <w:rsid w:val="00E179D1"/>
    <w:rsid w:val="00E2721E"/>
    <w:rsid w:val="00E56C4E"/>
    <w:rsid w:val="00E7473C"/>
    <w:rsid w:val="00EA6484"/>
    <w:rsid w:val="00EB27BC"/>
    <w:rsid w:val="00EC456F"/>
    <w:rsid w:val="00F4418A"/>
    <w:rsid w:val="00F97CDE"/>
    <w:rsid w:val="00FA07D4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nhideWhenUsed/>
    <w:rsid w:val="00D644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rsid w:val="00D6443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6443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925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1A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A01"/>
  </w:style>
  <w:style w:type="paragraph" w:styleId="Pidipagina">
    <w:name w:val="footer"/>
    <w:basedOn w:val="Normale"/>
    <w:link w:val="PidipaginaCarattere"/>
    <w:uiPriority w:val="99"/>
    <w:unhideWhenUsed/>
    <w:rsid w:val="00D41A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A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nhideWhenUsed/>
    <w:rsid w:val="00D6443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rsid w:val="00D6443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6443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925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1A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A01"/>
  </w:style>
  <w:style w:type="paragraph" w:styleId="Pidipagina">
    <w:name w:val="footer"/>
    <w:basedOn w:val="Normale"/>
    <w:link w:val="PidipaginaCarattere"/>
    <w:uiPriority w:val="99"/>
    <w:unhideWhenUsed/>
    <w:rsid w:val="00D41A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A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9FB0-B5B1-404E-BAD3-E5AF969C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Crociata</dc:creator>
  <cp:keywords/>
  <dc:description/>
  <cp:lastModifiedBy> </cp:lastModifiedBy>
  <cp:revision>7</cp:revision>
  <cp:lastPrinted>2013-01-17T10:43:00Z</cp:lastPrinted>
  <dcterms:created xsi:type="dcterms:W3CDTF">2013-01-17T11:10:00Z</dcterms:created>
  <dcterms:modified xsi:type="dcterms:W3CDTF">2013-01-17T11:24:00Z</dcterms:modified>
</cp:coreProperties>
</file>