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7" w:rsidRPr="00FE5B77" w:rsidRDefault="00FE5B77" w:rsidP="00FE5B77">
      <w:pPr>
        <w:jc w:val="center"/>
        <w:rPr>
          <w:b/>
          <w:smallCaps/>
          <w:sz w:val="36"/>
        </w:rPr>
      </w:pPr>
      <w:r w:rsidRPr="00FE5B77">
        <w:rPr>
          <w:b/>
          <w:smallCaps/>
          <w:sz w:val="36"/>
        </w:rPr>
        <w:t>Ufficio Catechistico Nazionale – CEI</w:t>
      </w:r>
    </w:p>
    <w:p w:rsidR="00FE5B77" w:rsidRDefault="00FE5B77" w:rsidP="00FE5B77">
      <w:pPr>
        <w:jc w:val="center"/>
        <w:rPr>
          <w:b/>
          <w:i/>
          <w:sz w:val="36"/>
        </w:rPr>
      </w:pPr>
      <w:r w:rsidRPr="00FE5B77">
        <w:rPr>
          <w:b/>
          <w:i/>
          <w:sz w:val="36"/>
        </w:rPr>
        <w:t xml:space="preserve">“12 ceste piene…” (Mc 6,43) </w:t>
      </w:r>
    </w:p>
    <w:p w:rsidR="00FE5B77" w:rsidRPr="00FE5B77" w:rsidRDefault="00FE5B77" w:rsidP="00A57E55">
      <w:pPr>
        <w:jc w:val="center"/>
        <w:rPr>
          <w:b/>
          <w:i/>
          <w:sz w:val="36"/>
        </w:rPr>
      </w:pPr>
      <w:r w:rsidRPr="00FE5B77">
        <w:rPr>
          <w:b/>
          <w:i/>
          <w:sz w:val="36"/>
        </w:rPr>
        <w:t>Catechesi e Formazione cristiana degli adulti</w:t>
      </w:r>
    </w:p>
    <w:p w:rsidR="00A57E55" w:rsidRDefault="00A57E55" w:rsidP="00A57E5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FE5B77" w:rsidRPr="00FE5B77" w:rsidRDefault="00FE5B77" w:rsidP="00A57E55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E5B77">
        <w:rPr>
          <w:rFonts w:ascii="Times New Roman" w:hAnsi="Times New Roman" w:cs="Times New Roman"/>
          <w:b/>
          <w:color w:val="auto"/>
        </w:rPr>
        <w:t>a cura di</w:t>
      </w:r>
    </w:p>
    <w:p w:rsidR="00FE5B77" w:rsidRDefault="00FE5B77" w:rsidP="00FE5B77">
      <w:pPr>
        <w:pStyle w:val="Default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FE5B77">
        <w:rPr>
          <w:rFonts w:ascii="Times New Roman" w:hAnsi="Times New Roman" w:cs="Times New Roman"/>
          <w:b/>
          <w:color w:val="auto"/>
        </w:rPr>
        <w:t xml:space="preserve">G. Benzi – P. Dal Toso – U. </w:t>
      </w:r>
      <w:proofErr w:type="spellStart"/>
      <w:r w:rsidRPr="00FE5B77">
        <w:rPr>
          <w:rFonts w:ascii="Times New Roman" w:hAnsi="Times New Roman" w:cs="Times New Roman"/>
          <w:b/>
          <w:color w:val="auto"/>
        </w:rPr>
        <w:t>Montisci</w:t>
      </w:r>
      <w:proofErr w:type="spellEnd"/>
    </w:p>
    <w:p w:rsidR="00A57E55" w:rsidRDefault="00A57E55" w:rsidP="00A57E55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:rsidR="00A57E55" w:rsidRDefault="00A57E55" w:rsidP="00A57E55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LDC, Torino 2013</w:t>
      </w:r>
    </w:p>
    <w:p w:rsidR="00A57E55" w:rsidRDefault="00A57E55" w:rsidP="00A57E55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:rsidR="00A57E55" w:rsidRDefault="00A57E55" w:rsidP="00A57E55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  <w:r w:rsidRPr="00A57E55">
        <w:rPr>
          <w:rFonts w:ascii="Times New Roman" w:hAnsi="Times New Roman" w:cs="Times New Roman"/>
          <w:b/>
          <w:i/>
          <w:color w:val="auto"/>
        </w:rPr>
        <w:t xml:space="preserve">Prefazione </w:t>
      </w:r>
      <w:r>
        <w:rPr>
          <w:rFonts w:ascii="Times New Roman" w:hAnsi="Times New Roman" w:cs="Times New Roman"/>
          <w:b/>
          <w:color w:val="auto"/>
        </w:rPr>
        <w:t>a cura di S.E. Mons. Mariano Crociata</w:t>
      </w:r>
    </w:p>
    <w:p w:rsidR="00A57E55" w:rsidRDefault="00A57E55" w:rsidP="00A57E55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:rsidR="00FE5B77" w:rsidRDefault="00FE5B77" w:rsidP="00FE5B77">
      <w:pPr>
        <w:pStyle w:val="Default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</w:rPr>
      </w:pPr>
    </w:p>
    <w:p w:rsidR="00FE5B77" w:rsidRPr="00FE5B77" w:rsidRDefault="00FE5B77" w:rsidP="00FE5B77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FE5B77" w:rsidRPr="00A57E55" w:rsidRDefault="00FE5B77" w:rsidP="00A57E55">
      <w:pPr>
        <w:pStyle w:val="Default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bCs w:val="0"/>
          <w:color w:val="auto"/>
        </w:rPr>
      </w:pPr>
      <w:r w:rsidRPr="00A27F70">
        <w:rPr>
          <w:rFonts w:ascii="Times New Roman" w:hAnsi="Times New Roman" w:cs="Times New Roman"/>
        </w:rPr>
        <w:t xml:space="preserve">Questo libro è frutto del lavoro della </w:t>
      </w:r>
      <w:r w:rsidRPr="00FE5B77">
        <w:rPr>
          <w:rFonts w:ascii="Times New Roman" w:hAnsi="Times New Roman" w:cs="Times New Roman"/>
          <w:b/>
        </w:rPr>
        <w:t>Commissione nazionale Catechesi per gli adulti dell’UCN</w:t>
      </w:r>
      <w:r w:rsidRPr="00A27F70">
        <w:rPr>
          <w:rFonts w:ascii="Times New Roman" w:hAnsi="Times New Roman" w:cs="Times New Roman"/>
        </w:rPr>
        <w:t>, che, costituta nel n</w:t>
      </w:r>
      <w:r>
        <w:rPr>
          <w:rFonts w:ascii="Times New Roman" w:hAnsi="Times New Roman" w:cs="Times New Roman"/>
        </w:rPr>
        <w:t>ovembre 2010, ha curato il XVI C</w:t>
      </w:r>
      <w:r w:rsidRPr="00A27F70">
        <w:rPr>
          <w:rFonts w:ascii="Times New Roman" w:hAnsi="Times New Roman" w:cs="Times New Roman"/>
        </w:rPr>
        <w:t>onv</w:t>
      </w:r>
      <w:r>
        <w:rPr>
          <w:rFonts w:ascii="Times New Roman" w:hAnsi="Times New Roman" w:cs="Times New Roman"/>
        </w:rPr>
        <w:t>egno dei Direttori degli Uffici</w:t>
      </w:r>
      <w:r w:rsidRPr="00A27F70">
        <w:rPr>
          <w:rFonts w:ascii="Times New Roman" w:hAnsi="Times New Roman" w:cs="Times New Roman"/>
        </w:rPr>
        <w:t xml:space="preserve"> Catechistici diocesani, svoltosi a Pesaro dal 20 al 23 giugno 2011,</w:t>
      </w:r>
      <w:r>
        <w:rPr>
          <w:rFonts w:ascii="Times New Roman" w:hAnsi="Times New Roman" w:cs="Times New Roman"/>
        </w:rPr>
        <w:t xml:space="preserve"> </w:t>
      </w:r>
      <w:r w:rsidRPr="00A27F70">
        <w:rPr>
          <w:rFonts w:ascii="Times New Roman" w:hAnsi="Times New Roman" w:cs="Times New Roman"/>
        </w:rPr>
        <w:t xml:space="preserve"> che aveva per titolo «</w:t>
      </w:r>
      <w:r w:rsidRPr="00A27F70">
        <w:rPr>
          <w:rStyle w:val="Enfasigrassetto"/>
          <w:rFonts w:ascii="Times New Roman" w:hAnsi="Times New Roman" w:cs="Times New Roman"/>
          <w:b w:val="0"/>
        </w:rPr>
        <w:t>Adulti testimoni della fede, desiderosi di trasmettere speranza</w:t>
      </w:r>
      <w:r w:rsidRPr="00A27F70">
        <w:rPr>
          <w:rFonts w:ascii="Times New Roman" w:hAnsi="Times New Roman" w:cs="Times New Roman"/>
          <w:b/>
          <w:bCs/>
        </w:rPr>
        <w:t xml:space="preserve">. </w:t>
      </w:r>
      <w:r w:rsidRPr="00A27F70">
        <w:rPr>
          <w:rStyle w:val="Enfasigrassetto"/>
          <w:rFonts w:ascii="Times New Roman" w:hAnsi="Times New Roman" w:cs="Times New Roman"/>
          <w:b w:val="0"/>
        </w:rPr>
        <w:t>Responsabilità e formazione della Comunità cristiana</w:t>
      </w:r>
      <w:r w:rsidRPr="00A27F70">
        <w:rPr>
          <w:rStyle w:val="Enfasigrassetto"/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La scelta maturata in quel C</w:t>
      </w:r>
      <w:r w:rsidRPr="00A27F70">
        <w:rPr>
          <w:rFonts w:ascii="Times New Roman" w:hAnsi="Times New Roman" w:cs="Times New Roman"/>
        </w:rPr>
        <w:t>onvegno f</w:t>
      </w:r>
      <w:r>
        <w:rPr>
          <w:rFonts w:ascii="Times New Roman" w:hAnsi="Times New Roman" w:cs="Times New Roman"/>
        </w:rPr>
        <w:t>u quella di rivolgere l’</w:t>
      </w:r>
      <w:r w:rsidRPr="00A27F70">
        <w:rPr>
          <w:rFonts w:ascii="Times New Roman" w:hAnsi="Times New Roman" w:cs="Times New Roman"/>
        </w:rPr>
        <w:t>attenzione a quegli adulti che già sono coinvolti (anche se in varie forme e con varia intensità) nelle nostre Comunità, dando così un particolare rilievo ai Percorsi di vita buona (</w:t>
      </w:r>
      <w:r w:rsidRPr="00A27F70">
        <w:rPr>
          <w:rFonts w:ascii="Times New Roman" w:hAnsi="Times New Roman" w:cs="Times New Roman"/>
          <w:i/>
        </w:rPr>
        <w:t>Educare alla vita buona del Vangelo</w:t>
      </w:r>
      <w:r w:rsidRPr="00A27F70">
        <w:rPr>
          <w:rFonts w:ascii="Times New Roman" w:hAnsi="Times New Roman" w:cs="Times New Roman"/>
        </w:rPr>
        <w:t xml:space="preserve">, n. 54b) ed alle esperienze concrete. Tale scelta </w:t>
      </w:r>
      <w:r>
        <w:rPr>
          <w:rFonts w:ascii="Times New Roman" w:hAnsi="Times New Roman" w:cs="Times New Roman"/>
        </w:rPr>
        <w:t>evidenziò</w:t>
      </w:r>
      <w:r w:rsidRPr="00A27F70">
        <w:rPr>
          <w:rFonts w:ascii="Times New Roman" w:hAnsi="Times New Roman" w:cs="Times New Roman"/>
        </w:rPr>
        <w:t xml:space="preserve"> in modo esplicito, in un contesto che necessariamente rimane aperto alla pluralità creativa dei metodi, delle modalità e dei singoli itinerari, </w:t>
      </w:r>
      <w:r>
        <w:rPr>
          <w:rFonts w:ascii="Times New Roman" w:hAnsi="Times New Roman" w:cs="Times New Roman"/>
        </w:rPr>
        <w:t xml:space="preserve">la necessità </w:t>
      </w:r>
      <w:r w:rsidRPr="00A27F70">
        <w:rPr>
          <w:rFonts w:ascii="Times New Roman" w:hAnsi="Times New Roman" w:cs="Times New Roman"/>
        </w:rPr>
        <w:t xml:space="preserve">di chiari punti di riferimento comuni ed organici nella proposta formativa agli adulti, con l’utilizzo di strumenti quali il </w:t>
      </w:r>
      <w:r w:rsidRPr="00A27F70">
        <w:rPr>
          <w:rFonts w:ascii="Times New Roman" w:hAnsi="Times New Roman" w:cs="Times New Roman"/>
          <w:i/>
        </w:rPr>
        <w:t>Catechismo della Chiesa Cattolica</w:t>
      </w:r>
      <w:r w:rsidRPr="00A27F70">
        <w:rPr>
          <w:rFonts w:ascii="Times New Roman" w:hAnsi="Times New Roman" w:cs="Times New Roman"/>
        </w:rPr>
        <w:t xml:space="preserve"> (ed il suo </w:t>
      </w:r>
      <w:r w:rsidRPr="00A27F70">
        <w:rPr>
          <w:rFonts w:ascii="Times New Roman" w:hAnsi="Times New Roman" w:cs="Times New Roman"/>
          <w:i/>
        </w:rPr>
        <w:t>Compendio</w:t>
      </w:r>
      <w:r w:rsidRPr="00A27F7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ed</w:t>
      </w:r>
      <w:r w:rsidRPr="00A27F70">
        <w:rPr>
          <w:rFonts w:ascii="Times New Roman" w:hAnsi="Times New Roman" w:cs="Times New Roman"/>
        </w:rPr>
        <w:t xml:space="preserve"> il Catechismo degli adulti della Conferenza Episcopale Italiana, </w:t>
      </w:r>
      <w:r w:rsidRPr="00A27F70">
        <w:rPr>
          <w:rFonts w:ascii="Times New Roman" w:hAnsi="Times New Roman" w:cs="Times New Roman"/>
          <w:i/>
        </w:rPr>
        <w:t>La verità vi farà liberi</w:t>
      </w:r>
      <w:r w:rsidRPr="00A27F70">
        <w:rPr>
          <w:rFonts w:ascii="Times New Roman" w:hAnsi="Times New Roman" w:cs="Times New Roman"/>
        </w:rPr>
        <w:t xml:space="preserve"> (</w:t>
      </w:r>
      <w:proofErr w:type="spellStart"/>
      <w:r w:rsidRPr="00A27F70">
        <w:rPr>
          <w:rFonts w:ascii="Times New Roman" w:hAnsi="Times New Roman" w:cs="Times New Roman"/>
        </w:rPr>
        <w:t>CdA</w:t>
      </w:r>
      <w:proofErr w:type="spellEnd"/>
      <w:r w:rsidRPr="00A27F70">
        <w:rPr>
          <w:rFonts w:ascii="Times New Roman" w:hAnsi="Times New Roman" w:cs="Times New Roman"/>
        </w:rPr>
        <w:t xml:space="preserve">), testo pubblicato all’indomani del Catechismo della Chiesa Cattolica e che conserva con esso uno stretto rapporto. </w:t>
      </w:r>
      <w:r w:rsidRPr="00A57E55">
        <w:rPr>
          <w:rFonts w:ascii="Times New Roman" w:hAnsi="Times New Roman" w:cs="Times New Roman"/>
        </w:rPr>
        <w:t>Pur non volendo ignorare la grande tematica dell’annuncio di fede nell’ottica di una catechesi evangelizzante, anzi proprio in tale prospettiva, necessita far emergere una «responsabilità» di testimonianza/educazione cond</w:t>
      </w:r>
      <w:r w:rsidR="00A57E55" w:rsidRPr="00A57E55">
        <w:rPr>
          <w:rFonts w:ascii="Times New Roman" w:hAnsi="Times New Roman" w:cs="Times New Roman"/>
        </w:rPr>
        <w:t>ivisa nella comunità ecclesiale</w:t>
      </w:r>
      <w:r w:rsidRPr="00A57E55">
        <w:rPr>
          <w:rFonts w:ascii="Times New Roman" w:hAnsi="Times New Roman" w:cs="Times New Roman"/>
        </w:rPr>
        <w:t xml:space="preserve">. </w:t>
      </w:r>
      <w:r w:rsidRPr="00A57E55">
        <w:rPr>
          <w:rStyle w:val="Enfasigrassetto"/>
          <w:rFonts w:ascii="Times New Roman" w:hAnsi="Times New Roman" w:cs="Times New Roman"/>
          <w:b w:val="0"/>
        </w:rPr>
        <w:t xml:space="preserve">Si tratta dunque di guardare all’adulto nel suo essere «implicato» in un processo educativo che riguarda lui/lei nelle sue scelte fondamentali, nel suo essere in relazione dentro le dinamiche della vita, nel suo essere ad esempio genitore, o insegnate, collega, amico, cittadino,… in qualunque modo «dentro» il discorso educativo. </w:t>
      </w:r>
    </w:p>
    <w:p w:rsidR="00A57E55" w:rsidRDefault="00A57E55" w:rsidP="00A57E55">
      <w:pPr>
        <w:ind w:firstLine="708"/>
        <w:jc w:val="both"/>
      </w:pPr>
      <w:r>
        <w:t>Il Libro è pertanto diretto</w:t>
      </w:r>
      <w:r w:rsidR="00FE5B77" w:rsidRPr="008C7BAE">
        <w:t xml:space="preserve"> </w:t>
      </w:r>
      <w:r w:rsidR="00FE5B77">
        <w:t>tutti coloro che</w:t>
      </w:r>
      <w:r w:rsidR="00FE5B77" w:rsidRPr="008C7BAE">
        <w:t xml:space="preserve"> si </w:t>
      </w:r>
      <w:r w:rsidR="00FE5B77">
        <w:t>dedicano all’incontro ed all’animazione del mondo adulto</w:t>
      </w:r>
      <w:r>
        <w:t>:</w:t>
      </w:r>
      <w:r w:rsidR="00FE5B77" w:rsidRPr="008C7BAE">
        <w:t xml:space="preserve"> Parroci, Diaconi permanenti, accompagnatori di adul</w:t>
      </w:r>
      <w:r>
        <w:t>ti, catechisti, evangelizzatori.</w:t>
      </w:r>
      <w:r w:rsidR="00FE5B77">
        <w:t xml:space="preserve"> </w:t>
      </w:r>
      <w:r>
        <w:t>Esso</w:t>
      </w:r>
      <w:r w:rsidR="00FE5B77" w:rsidRPr="008C7BAE">
        <w:t xml:space="preserve"> si propone come un possibile strumento che in forma sintetica tenta di offrire un’articolata rifl</w:t>
      </w:r>
      <w:r>
        <w:t>essione, su molteplici aspetti.</w:t>
      </w:r>
    </w:p>
    <w:p w:rsidR="00FE5B77" w:rsidRPr="008C7BAE" w:rsidRDefault="00FE5B77" w:rsidP="00A57E55">
      <w:pPr>
        <w:ind w:firstLine="708"/>
        <w:jc w:val="both"/>
      </w:pPr>
      <w:r w:rsidRPr="008C7BAE">
        <w:t xml:space="preserve">Nella </w:t>
      </w:r>
      <w:r w:rsidRPr="008C7BAE">
        <w:rPr>
          <w:b/>
        </w:rPr>
        <w:t>prima parte</w:t>
      </w:r>
      <w:r w:rsidRPr="008C7BAE">
        <w:t xml:space="preserve"> si fa sintesi di alcune questioni di fondamentale importanza, in certo senso, facendo il punto dell’approfondimento teorico sulla catechesi per gli adulti, oggetto di ricerca piuttosto recente. I singoli capitoli della </w:t>
      </w:r>
      <w:r w:rsidRPr="008C7BAE">
        <w:rPr>
          <w:b/>
        </w:rPr>
        <w:t>seconda parte</w:t>
      </w:r>
      <w:r w:rsidRPr="008C7BAE">
        <w:t xml:space="preserve">, dedicata alla riflessione pastorale, risultano delle vere e proprie introduzioni sintetiche ai problemi ed alle modalità di affrontarli. La </w:t>
      </w:r>
      <w:r w:rsidRPr="008C7BAE">
        <w:rPr>
          <w:b/>
        </w:rPr>
        <w:t>terza parte</w:t>
      </w:r>
      <w:r w:rsidRPr="008C7BAE">
        <w:t xml:space="preserve"> propone, invece, una serie di esemplificazioni in vari ambiti della vita dell’adulto, che rendono concreta la tematica sotto vari punti di vista. </w:t>
      </w:r>
    </w:p>
    <w:p w:rsidR="00B87210" w:rsidRDefault="00A57E55" w:rsidP="00A57E55">
      <w:pPr>
        <w:numPr>
          <w:ilvl w:val="0"/>
          <w:numId w:val="1"/>
        </w:numPr>
        <w:jc w:val="both"/>
      </w:pPr>
      <w:r>
        <w:t>Il testo</w:t>
      </w:r>
      <w:r w:rsidR="00FE5B77" w:rsidRPr="008C7BAE">
        <w:t xml:space="preserve"> può essere un utile strumento per ulteriori approfondimenti, grazie anche alla ricca bibliografia. In questo senso può essere utilizzato anche per elaborare percorsi formativi con adulti disponibili a continuare, approfondire o ricominciare il cammino personale e comunitario di crescita nella fede. Questo testo caratterizzato anche da un linguaggio accessibile a tutti, non è certo riservato a specialisti del settore, ma risulta un contributo significativo per quanti hanno a cuore la catechesi per gli adulti.</w:t>
      </w:r>
      <w:r w:rsidR="00FE5B77">
        <w:t xml:space="preserve"> </w:t>
      </w:r>
    </w:p>
    <w:sectPr w:rsidR="00B87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AB" w:rsidRDefault="004C5AAB" w:rsidP="00FE5B77">
      <w:r>
        <w:separator/>
      </w:r>
    </w:p>
  </w:endnote>
  <w:endnote w:type="continuationSeparator" w:id="0">
    <w:p w:rsidR="004C5AAB" w:rsidRDefault="004C5AAB" w:rsidP="00FE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AB" w:rsidRDefault="004C5AAB" w:rsidP="00FE5B77">
      <w:r>
        <w:separator/>
      </w:r>
    </w:p>
  </w:footnote>
  <w:footnote w:type="continuationSeparator" w:id="0">
    <w:p w:rsidR="004C5AAB" w:rsidRDefault="004C5AAB" w:rsidP="00FE5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F7D"/>
    <w:multiLevelType w:val="hybridMultilevel"/>
    <w:tmpl w:val="145A0742"/>
    <w:lvl w:ilvl="0" w:tplc="D5104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E134D"/>
    <w:multiLevelType w:val="hybridMultilevel"/>
    <w:tmpl w:val="58129D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77"/>
    <w:rsid w:val="004C5AAB"/>
    <w:rsid w:val="00A57E55"/>
    <w:rsid w:val="00B87210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5B7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notaapidipagina">
    <w:name w:val="footnote text"/>
    <w:aliases w:val="TestoBibliografiaFine,Testo nota a piè di pagina Carattere Carattere Carattere Carattere,Testo nota a piè di pagina Carattere Carattere Carattere Carattere Carattere Caratte"/>
    <w:basedOn w:val="Normale"/>
    <w:link w:val="TestonotaapidipaginaCarattere"/>
    <w:rsid w:val="00FE5B77"/>
    <w:rPr>
      <w:sz w:val="20"/>
      <w:szCs w:val="20"/>
    </w:rPr>
  </w:style>
  <w:style w:type="character" w:customStyle="1" w:styleId="TestonotaapidipaginaCarattere">
    <w:name w:val="Testo nota a piè di pagina Carattere"/>
    <w:aliases w:val="TestoBibliografiaFine Carattere,Testo nota a piè di pagina Carattere Carattere Carattere Carattere Carattere,Testo nota a piè di pagina Carattere Carattere Carattere Carattere Carattere Caratte Carattere"/>
    <w:basedOn w:val="Carpredefinitoparagrafo"/>
    <w:link w:val="Testonotaapidipagina"/>
    <w:rsid w:val="00FE5B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E5B77"/>
    <w:rPr>
      <w:vertAlign w:val="superscript"/>
    </w:rPr>
  </w:style>
  <w:style w:type="character" w:styleId="Enfasigrassetto">
    <w:name w:val="Strong"/>
    <w:uiPriority w:val="22"/>
    <w:qFormat/>
    <w:rsid w:val="00FE5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5B7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notaapidipagina">
    <w:name w:val="footnote text"/>
    <w:aliases w:val="TestoBibliografiaFine,Testo nota a piè di pagina Carattere Carattere Carattere Carattere,Testo nota a piè di pagina Carattere Carattere Carattere Carattere Carattere Caratte"/>
    <w:basedOn w:val="Normale"/>
    <w:link w:val="TestonotaapidipaginaCarattere"/>
    <w:rsid w:val="00FE5B77"/>
    <w:rPr>
      <w:sz w:val="20"/>
      <w:szCs w:val="20"/>
    </w:rPr>
  </w:style>
  <w:style w:type="character" w:customStyle="1" w:styleId="TestonotaapidipaginaCarattere">
    <w:name w:val="Testo nota a piè di pagina Carattere"/>
    <w:aliases w:val="TestoBibliografiaFine Carattere,Testo nota a piè di pagina Carattere Carattere Carattere Carattere Carattere,Testo nota a piè di pagina Carattere Carattere Carattere Carattere Carattere Caratte Carattere"/>
    <w:basedOn w:val="Carpredefinitoparagrafo"/>
    <w:link w:val="Testonotaapidipagina"/>
    <w:rsid w:val="00FE5B7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E5B77"/>
    <w:rPr>
      <w:vertAlign w:val="superscript"/>
    </w:rPr>
  </w:style>
  <w:style w:type="character" w:styleId="Enfasigrassetto">
    <w:name w:val="Strong"/>
    <w:uiPriority w:val="22"/>
    <w:qFormat/>
    <w:rsid w:val="00FE5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Benzi</dc:creator>
  <cp:lastModifiedBy>Guido Benzi</cp:lastModifiedBy>
  <cp:revision>1</cp:revision>
  <dcterms:created xsi:type="dcterms:W3CDTF">2013-11-11T09:48:00Z</dcterms:created>
  <dcterms:modified xsi:type="dcterms:W3CDTF">2013-11-11T10:05:00Z</dcterms:modified>
</cp:coreProperties>
</file>